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2053D46F" w14:textId="77777777" w:rsidR="00560B32" w:rsidRPr="004E20DC" w:rsidRDefault="001541D4" w:rsidP="00560B32">
      <w:pPr>
        <w:spacing w:after="0" w:line="240" w:lineRule="auto"/>
        <w:ind w:right="4"/>
        <w:contextualSpacing/>
        <w:jc w:val="center"/>
        <w:rPr>
          <w:rFonts w:ascii="Cambria" w:eastAsia="Batang" w:hAnsi="Cambria"/>
          <w:b/>
          <w:color w:val="000000" w:themeColor="text1"/>
          <w:lang w:val="fr-CA"/>
        </w:rPr>
      </w:pPr>
      <w:r w:rsidRPr="004E20DC">
        <w:rPr>
          <w:rFonts w:ascii="Cambria" w:eastAsia="Batang" w:hAnsi="Cambria"/>
          <w:b/>
          <w:color w:val="000000" w:themeColor="text1"/>
          <w:lang w:val="fr-CA"/>
        </w:rPr>
        <w:t>TECHNICAL INFORMATION SHEET</w:t>
      </w:r>
    </w:p>
    <w:p w14:paraId="04BE5553" w14:textId="77777777" w:rsidR="00560B32" w:rsidRPr="004E20DC" w:rsidRDefault="001541D4" w:rsidP="00560B32">
      <w:pPr>
        <w:spacing w:after="0" w:line="240" w:lineRule="auto"/>
        <w:ind w:right="4"/>
        <w:contextualSpacing/>
        <w:jc w:val="center"/>
        <w:rPr>
          <w:rFonts w:ascii="Cambria" w:eastAsia="Batang" w:hAnsi="Cambria"/>
          <w:b/>
          <w:color w:val="000000" w:themeColor="text1"/>
          <w:lang w:val="fr-CA"/>
        </w:rPr>
      </w:pPr>
      <w:r w:rsidRPr="000B12ED">
        <w:rPr>
          <w:rFonts w:ascii="Cambria" w:eastAsia="Batang" w:hAnsi="Cambria"/>
          <w:b/>
          <w:color w:val="000000" w:themeColor="text1"/>
          <w:lang w:val="fr-CA"/>
        </w:rPr>
        <w:t xml:space="preserve">CASE </w:t>
      </w:r>
      <w:r w:rsidR="00560B32" w:rsidRPr="000B12ED">
        <w:rPr>
          <w:rFonts w:ascii="Cambria" w:eastAsia="Batang" w:hAnsi="Cambria"/>
          <w:b/>
          <w:color w:val="000000" w:themeColor="text1"/>
          <w:lang w:val="fr-CA"/>
        </w:rPr>
        <w:t>11.426</w:t>
      </w:r>
      <w:r w:rsidR="00560B32" w:rsidRPr="004E20DC">
        <w:rPr>
          <w:rFonts w:ascii="Cambria" w:eastAsia="Batang" w:hAnsi="Cambria"/>
          <w:b/>
          <w:color w:val="000000" w:themeColor="text1"/>
          <w:lang w:val="fr-CA"/>
        </w:rPr>
        <w:t xml:space="preserve"> </w:t>
      </w:r>
      <w:r w:rsidR="00560B32" w:rsidRPr="000B12ED">
        <w:rPr>
          <w:rFonts w:ascii="Cambria" w:eastAsia="Batang" w:hAnsi="Cambria"/>
          <w:b/>
          <w:color w:val="000000" w:themeColor="text1"/>
          <w:lang w:val="fr-CA"/>
        </w:rPr>
        <w:t xml:space="preserve">MARCELA ALEJANDRA PORCO </w:t>
      </w:r>
    </w:p>
    <w:p w14:paraId="023C007F" w14:textId="77726B10" w:rsidR="001541D4" w:rsidRPr="000B12ED" w:rsidRDefault="001541D4" w:rsidP="00560B32">
      <w:pPr>
        <w:spacing w:after="0" w:line="240" w:lineRule="auto"/>
        <w:ind w:right="4"/>
        <w:contextualSpacing/>
        <w:jc w:val="center"/>
        <w:rPr>
          <w:rFonts w:ascii="Cambria" w:eastAsia="Batang" w:hAnsi="Cambria"/>
          <w:b/>
          <w:color w:val="000000" w:themeColor="text1"/>
        </w:rPr>
      </w:pPr>
      <w:r w:rsidRPr="000B12ED">
        <w:rPr>
          <w:rFonts w:ascii="Cambria" w:eastAsia="Batang" w:hAnsi="Cambria"/>
          <w:b/>
          <w:color w:val="000000" w:themeColor="text1"/>
        </w:rPr>
        <w:t>FRIENDLY SETTLEMENT REPORT No.</w:t>
      </w:r>
      <w:r w:rsidR="0087405E" w:rsidRPr="004E20DC">
        <w:rPr>
          <w:rFonts w:ascii="Cambria" w:eastAsia="Batang" w:hAnsi="Cambria"/>
          <w:b/>
          <w:color w:val="000000" w:themeColor="text1"/>
        </w:rPr>
        <w:t xml:space="preserve"> </w:t>
      </w:r>
      <w:hyperlink r:id="rId12" w:history="1">
        <w:r w:rsidR="008403D9" w:rsidRPr="000B12ED">
          <w:rPr>
            <w:rStyle w:val="Hyperlink"/>
            <w:rFonts w:ascii="Cambria" w:hAnsi="Cambria"/>
            <w:b/>
          </w:rPr>
          <w:t>270</w:t>
        </w:r>
        <w:r w:rsidRPr="000B12ED">
          <w:rPr>
            <w:rStyle w:val="Hyperlink"/>
            <w:rFonts w:ascii="Cambria" w:hAnsi="Cambria"/>
            <w:b/>
          </w:rPr>
          <w:t>/</w:t>
        </w:r>
        <w:r w:rsidR="008403D9" w:rsidRPr="000B12ED">
          <w:rPr>
            <w:rStyle w:val="Hyperlink"/>
            <w:rFonts w:ascii="Cambria" w:hAnsi="Cambria"/>
            <w:b/>
          </w:rPr>
          <w:t>23</w:t>
        </w:r>
      </w:hyperlink>
    </w:p>
    <w:p w14:paraId="52EBA80E" w14:textId="77777777" w:rsidR="001541D4" w:rsidRPr="004E20DC" w:rsidRDefault="001541D4" w:rsidP="003E6F57">
      <w:pPr>
        <w:spacing w:after="0" w:line="240" w:lineRule="auto"/>
        <w:ind w:right="4"/>
        <w:contextualSpacing/>
        <w:jc w:val="center"/>
        <w:rPr>
          <w:rFonts w:ascii="Cambria" w:eastAsia="Batang" w:hAnsi="Cambria"/>
          <w:b/>
          <w:color w:val="000000" w:themeColor="text1"/>
        </w:rPr>
      </w:pPr>
      <w:r w:rsidRPr="000B12ED">
        <w:rPr>
          <w:rFonts w:ascii="Cambria" w:eastAsia="Batang" w:hAnsi="Cambria"/>
          <w:b/>
          <w:color w:val="000000" w:themeColor="text1"/>
        </w:rPr>
        <w:t>TOTAL COMPLIANCE</w:t>
      </w:r>
    </w:p>
    <w:p w14:paraId="359B0977" w14:textId="54A3521D"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0B12ED">
        <w:rPr>
          <w:rFonts w:ascii="Cambria" w:eastAsia="Batang" w:hAnsi="Cambria"/>
          <w:b/>
          <w:color w:val="000000" w:themeColor="text1"/>
        </w:rPr>
        <w:t>(</w:t>
      </w:r>
      <w:r w:rsidR="00610CB4" w:rsidRPr="000B12ED">
        <w:rPr>
          <w:rFonts w:ascii="Cambria" w:eastAsia="Batang" w:hAnsi="Cambria"/>
          <w:b/>
          <w:color w:val="000000" w:themeColor="text1"/>
        </w:rPr>
        <w:t>BOLIVIA</w:t>
      </w:r>
      <w:r w:rsidRPr="000B12ED">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4E20DC" w14:paraId="58669F97" w14:textId="77777777" w:rsidTr="003E6F57">
        <w:trPr>
          <w:trHeight w:val="5967"/>
          <w:jc w:val="center"/>
        </w:trPr>
        <w:tc>
          <w:tcPr>
            <w:tcW w:w="9350" w:type="dxa"/>
            <w:shd w:val="clear" w:color="auto" w:fill="F2F2F2"/>
          </w:tcPr>
          <w:p w14:paraId="183E0055" w14:textId="77777777" w:rsidR="007655EF" w:rsidRPr="000B12ED" w:rsidRDefault="007655EF" w:rsidP="007655EF">
            <w:pPr>
              <w:pStyle w:val="NoSpacing"/>
              <w:tabs>
                <w:tab w:val="left" w:pos="9270"/>
              </w:tabs>
              <w:jc w:val="both"/>
              <w:rPr>
                <w:rFonts w:ascii="Cambria" w:hAnsi="Cambria"/>
                <w:color w:val="000000"/>
                <w:sz w:val="20"/>
                <w:szCs w:val="20"/>
                <w:lang w:val="pt-BR"/>
              </w:rPr>
            </w:pPr>
            <w:r w:rsidRPr="000B12ED">
              <w:rPr>
                <w:rFonts w:ascii="Cambria" w:hAnsi="Cambria"/>
                <w:b/>
                <w:color w:val="000000"/>
                <w:sz w:val="20"/>
                <w:szCs w:val="20"/>
                <w:lang w:val="pt-BR"/>
              </w:rPr>
              <w:t>Victim(s):</w:t>
            </w:r>
            <w:r w:rsidRPr="000B12ED">
              <w:rPr>
                <w:rFonts w:ascii="Cambria" w:hAnsi="Cambria"/>
                <w:color w:val="000000"/>
                <w:sz w:val="20"/>
                <w:szCs w:val="20"/>
                <w:lang w:val="pt-BR"/>
              </w:rPr>
              <w:t xml:space="preserve"> Marcela Alejandra Porco</w:t>
            </w:r>
          </w:p>
          <w:p w14:paraId="1D9F84BD" w14:textId="77777777" w:rsidR="007655EF" w:rsidRPr="000B12ED" w:rsidRDefault="007655EF" w:rsidP="007655EF">
            <w:pPr>
              <w:pStyle w:val="NoSpacing"/>
              <w:tabs>
                <w:tab w:val="left" w:pos="9270"/>
              </w:tabs>
              <w:jc w:val="both"/>
              <w:rPr>
                <w:rFonts w:ascii="Cambria" w:hAnsi="Cambria"/>
                <w:color w:val="000000"/>
                <w:sz w:val="20"/>
                <w:szCs w:val="20"/>
                <w:lang w:val="pt-BR"/>
              </w:rPr>
            </w:pPr>
            <w:r w:rsidRPr="000B12ED">
              <w:rPr>
                <w:rFonts w:ascii="Cambria" w:hAnsi="Cambria"/>
                <w:b/>
                <w:color w:val="000000"/>
                <w:sz w:val="20"/>
                <w:szCs w:val="20"/>
                <w:lang w:val="pt-BR"/>
              </w:rPr>
              <w:t xml:space="preserve">Petitioner(s): </w:t>
            </w:r>
            <w:r w:rsidRPr="000B12ED">
              <w:rPr>
                <w:rFonts w:ascii="Cambria" w:hAnsi="Cambria"/>
                <w:bCs/>
                <w:color w:val="000000"/>
                <w:sz w:val="20"/>
                <w:szCs w:val="20"/>
                <w:lang w:val="pt-BR"/>
              </w:rPr>
              <w:t>Servicio Paz y Justicia (SERPAJ), the Center for Justice and International Law (CEJIL), the Asociación Justicialista de Abogados, Fernando Rizzi and Gaspar Porco</w:t>
            </w:r>
          </w:p>
          <w:p w14:paraId="0BB4018F" w14:textId="77777777" w:rsidR="007655EF" w:rsidRPr="000B12ED" w:rsidRDefault="007655EF" w:rsidP="007655EF">
            <w:pPr>
              <w:pStyle w:val="NoSpacing"/>
              <w:tabs>
                <w:tab w:val="left" w:pos="5026"/>
              </w:tabs>
              <w:jc w:val="both"/>
              <w:rPr>
                <w:rFonts w:ascii="Cambria" w:hAnsi="Cambria"/>
                <w:color w:val="000000"/>
                <w:sz w:val="20"/>
                <w:szCs w:val="20"/>
              </w:rPr>
            </w:pPr>
            <w:r w:rsidRPr="000B12ED">
              <w:rPr>
                <w:rFonts w:ascii="Cambria" w:hAnsi="Cambria"/>
                <w:b/>
                <w:color w:val="000000"/>
                <w:sz w:val="20"/>
                <w:szCs w:val="20"/>
              </w:rPr>
              <w:t xml:space="preserve">State: </w:t>
            </w:r>
            <w:r w:rsidRPr="000B12ED">
              <w:rPr>
                <w:rFonts w:ascii="Cambria" w:hAnsi="Cambria"/>
                <w:bCs/>
                <w:color w:val="000000"/>
                <w:sz w:val="20"/>
                <w:szCs w:val="20"/>
              </w:rPr>
              <w:t>Bolivia</w:t>
            </w:r>
            <w:r w:rsidRPr="000B12ED">
              <w:rPr>
                <w:rFonts w:ascii="Cambria" w:hAnsi="Cambria"/>
                <w:color w:val="000000"/>
                <w:sz w:val="20"/>
                <w:szCs w:val="20"/>
              </w:rPr>
              <w:tab/>
            </w:r>
          </w:p>
          <w:p w14:paraId="13AC7596" w14:textId="77777777" w:rsidR="007655EF" w:rsidRPr="000B12ED" w:rsidRDefault="007655EF" w:rsidP="007655EF">
            <w:pPr>
              <w:pStyle w:val="NoSpacing"/>
              <w:tabs>
                <w:tab w:val="left" w:pos="9270"/>
              </w:tabs>
              <w:jc w:val="both"/>
              <w:rPr>
                <w:rFonts w:ascii="Cambria" w:hAnsi="Cambria"/>
                <w:b/>
                <w:bCs/>
                <w:color w:val="000000"/>
                <w:sz w:val="20"/>
                <w:szCs w:val="20"/>
              </w:rPr>
            </w:pPr>
            <w:r w:rsidRPr="000B12ED">
              <w:rPr>
                <w:rFonts w:ascii="Cambria" w:hAnsi="Cambria"/>
                <w:b/>
                <w:bCs/>
                <w:color w:val="000000"/>
                <w:sz w:val="20"/>
                <w:szCs w:val="20"/>
              </w:rPr>
              <w:t xml:space="preserve">Beginning of the negotiation date: </w:t>
            </w:r>
            <w:r w:rsidRPr="000B12ED">
              <w:rPr>
                <w:rFonts w:ascii="Cambria" w:hAnsi="Cambria"/>
                <w:color w:val="000000"/>
                <w:sz w:val="20"/>
                <w:szCs w:val="20"/>
              </w:rPr>
              <w:t>May 1,</w:t>
            </w:r>
            <w:r w:rsidRPr="000B12ED">
              <w:rPr>
                <w:rFonts w:ascii="Cambria" w:hAnsi="Cambria"/>
                <w:bCs/>
                <w:color w:val="000000"/>
                <w:sz w:val="20"/>
                <w:szCs w:val="20"/>
              </w:rPr>
              <w:t xml:space="preserve"> 2009</w:t>
            </w:r>
          </w:p>
          <w:p w14:paraId="5A27BC87" w14:textId="77777777" w:rsidR="007655EF" w:rsidRPr="000B12ED" w:rsidRDefault="007655EF" w:rsidP="007655EF">
            <w:pPr>
              <w:pStyle w:val="NoSpacing"/>
              <w:jc w:val="both"/>
              <w:rPr>
                <w:rFonts w:ascii="Cambria" w:hAnsi="Cambria"/>
                <w:color w:val="000000"/>
                <w:sz w:val="20"/>
                <w:szCs w:val="20"/>
              </w:rPr>
            </w:pPr>
            <w:r w:rsidRPr="000B12ED">
              <w:rPr>
                <w:rFonts w:ascii="Cambria" w:hAnsi="Cambria"/>
                <w:b/>
                <w:bCs/>
                <w:color w:val="000000"/>
                <w:sz w:val="20"/>
                <w:szCs w:val="20"/>
              </w:rPr>
              <w:t>FSA signature date:</w:t>
            </w:r>
            <w:r w:rsidRPr="000B12ED">
              <w:rPr>
                <w:rFonts w:ascii="Cambria" w:hAnsi="Cambria"/>
                <w:color w:val="000000"/>
                <w:sz w:val="20"/>
                <w:szCs w:val="20"/>
              </w:rPr>
              <w:t xml:space="preserve"> May 30, 2022</w:t>
            </w:r>
          </w:p>
          <w:p w14:paraId="41787A5C" w14:textId="77777777" w:rsidR="007655EF" w:rsidRPr="000B12ED" w:rsidRDefault="007655EF" w:rsidP="007655EF">
            <w:pPr>
              <w:pStyle w:val="NoSpacing"/>
              <w:tabs>
                <w:tab w:val="left" w:pos="9270"/>
              </w:tabs>
              <w:jc w:val="both"/>
              <w:rPr>
                <w:rFonts w:ascii="Cambria" w:hAnsi="Cambria"/>
                <w:color w:val="000000"/>
                <w:sz w:val="20"/>
                <w:szCs w:val="20"/>
              </w:rPr>
            </w:pPr>
            <w:r w:rsidRPr="000B12ED">
              <w:rPr>
                <w:rFonts w:ascii="Cambria" w:hAnsi="Cambria"/>
                <w:b/>
                <w:color w:val="000000"/>
                <w:sz w:val="20"/>
                <w:szCs w:val="20"/>
              </w:rPr>
              <w:t xml:space="preserve">Report on Admissibility No.: </w:t>
            </w:r>
            <w:hyperlink r:id="rId13" w:history="1">
              <w:r w:rsidRPr="000B12ED">
                <w:rPr>
                  <w:rStyle w:val="Hyperlink"/>
                  <w:rFonts w:ascii="Cambria" w:hAnsi="Cambria"/>
                  <w:b/>
                  <w:sz w:val="20"/>
                  <w:szCs w:val="20"/>
                </w:rPr>
                <w:t xml:space="preserve">8/08 </w:t>
              </w:r>
            </w:hyperlink>
            <w:r w:rsidRPr="000B12ED">
              <w:rPr>
                <w:rFonts w:ascii="Cambria" w:hAnsi="Cambria"/>
                <w:bCs/>
                <w:color w:val="000000"/>
                <w:sz w:val="20"/>
                <w:szCs w:val="20"/>
              </w:rPr>
              <w:t>published on March 4, 2008</w:t>
            </w:r>
          </w:p>
          <w:p w14:paraId="45FAE3CD" w14:textId="77777777" w:rsidR="007655EF" w:rsidRPr="000B12ED" w:rsidRDefault="007655EF" w:rsidP="007655EF">
            <w:pPr>
              <w:pStyle w:val="NoSpacing"/>
              <w:tabs>
                <w:tab w:val="left" w:pos="9270"/>
              </w:tabs>
              <w:jc w:val="both"/>
              <w:rPr>
                <w:rFonts w:ascii="Cambria" w:hAnsi="Cambria"/>
                <w:color w:val="000000"/>
                <w:sz w:val="20"/>
                <w:szCs w:val="20"/>
              </w:rPr>
            </w:pPr>
            <w:r w:rsidRPr="000B12ED">
              <w:rPr>
                <w:rFonts w:ascii="Cambria" w:hAnsi="Cambria"/>
                <w:b/>
                <w:color w:val="000000"/>
                <w:sz w:val="20"/>
                <w:szCs w:val="20"/>
              </w:rPr>
              <w:t xml:space="preserve">Friendly Settlement Agreement Report </w:t>
            </w:r>
            <w:r w:rsidRPr="000B12ED">
              <w:rPr>
                <w:rFonts w:ascii="Cambria" w:hAnsi="Cambria"/>
                <w:b/>
                <w:sz w:val="20"/>
                <w:szCs w:val="20"/>
              </w:rPr>
              <w:t xml:space="preserve">No.: </w:t>
            </w:r>
            <w:hyperlink r:id="rId14" w:history="1">
              <w:r w:rsidRPr="000B12ED">
                <w:rPr>
                  <w:rStyle w:val="Hyperlink"/>
                  <w:rFonts w:ascii="Cambria" w:hAnsi="Cambria"/>
                  <w:b/>
                  <w:sz w:val="20"/>
                  <w:szCs w:val="20"/>
                </w:rPr>
                <w:t xml:space="preserve">270/23 </w:t>
              </w:r>
            </w:hyperlink>
            <w:r w:rsidRPr="000B12ED">
              <w:rPr>
                <w:rFonts w:ascii="Cambria" w:hAnsi="Cambria"/>
                <w:color w:val="000000"/>
                <w:sz w:val="20"/>
                <w:szCs w:val="20"/>
              </w:rPr>
              <w:t>published on November 30, 2023</w:t>
            </w:r>
          </w:p>
          <w:p w14:paraId="45021B25" w14:textId="77777777" w:rsidR="007655EF" w:rsidRPr="000B12ED" w:rsidRDefault="007655EF" w:rsidP="007655EF">
            <w:pPr>
              <w:pStyle w:val="NoSpacing"/>
              <w:tabs>
                <w:tab w:val="left" w:pos="9270"/>
              </w:tabs>
              <w:jc w:val="both"/>
              <w:rPr>
                <w:rFonts w:ascii="Cambria" w:hAnsi="Cambria"/>
                <w:bCs/>
                <w:color w:val="000000"/>
                <w:sz w:val="20"/>
                <w:szCs w:val="20"/>
              </w:rPr>
            </w:pPr>
            <w:r w:rsidRPr="000B12ED">
              <w:rPr>
                <w:rFonts w:ascii="Cambria" w:hAnsi="Cambria"/>
                <w:b/>
                <w:bCs/>
                <w:color w:val="000000"/>
                <w:sz w:val="20"/>
                <w:szCs w:val="20"/>
              </w:rPr>
              <w:t xml:space="preserve">Estimated length of the negotiation phase: </w:t>
            </w:r>
            <w:r w:rsidRPr="000B12ED">
              <w:rPr>
                <w:rFonts w:ascii="Cambria" w:hAnsi="Cambria"/>
                <w:color w:val="000000"/>
                <w:sz w:val="20"/>
                <w:szCs w:val="20"/>
              </w:rPr>
              <w:t>14 years and 6 months</w:t>
            </w:r>
          </w:p>
          <w:p w14:paraId="7CD834F4" w14:textId="77777777" w:rsidR="007655EF" w:rsidRPr="000B12ED" w:rsidRDefault="007655EF" w:rsidP="007655EF">
            <w:pPr>
              <w:pStyle w:val="NoSpacing"/>
              <w:tabs>
                <w:tab w:val="left" w:pos="9270"/>
              </w:tabs>
              <w:jc w:val="both"/>
              <w:rPr>
                <w:rFonts w:ascii="Cambria" w:hAnsi="Cambria"/>
                <w:color w:val="000000"/>
                <w:sz w:val="20"/>
                <w:szCs w:val="20"/>
              </w:rPr>
            </w:pPr>
            <w:r w:rsidRPr="000B12ED">
              <w:rPr>
                <w:rFonts w:ascii="Cambria" w:hAnsi="Cambria"/>
                <w:b/>
                <w:color w:val="000000"/>
                <w:sz w:val="20"/>
                <w:szCs w:val="20"/>
              </w:rPr>
              <w:t>Related Rapporteurship:</w:t>
            </w:r>
            <w:r w:rsidRPr="000B12ED">
              <w:rPr>
                <w:rFonts w:ascii="Cambria" w:hAnsi="Cambria"/>
                <w:color w:val="000000"/>
                <w:sz w:val="20"/>
                <w:szCs w:val="20"/>
              </w:rPr>
              <w:t xml:space="preserve"> Women’s Rights; Persons with Disabilities</w:t>
            </w:r>
          </w:p>
          <w:p w14:paraId="44607A7F" w14:textId="18F742F4" w:rsidR="007655EF" w:rsidRPr="000B12ED" w:rsidRDefault="007655EF" w:rsidP="000B12ED">
            <w:pPr>
              <w:spacing w:line="240" w:lineRule="auto"/>
              <w:jc w:val="both"/>
              <w:rPr>
                <w:lang w:val="en-CA"/>
              </w:rPr>
            </w:pPr>
            <w:r w:rsidRPr="000B12ED">
              <w:rPr>
                <w:rFonts w:ascii="Cambria" w:hAnsi="Cambria"/>
                <w:b/>
                <w:color w:val="000000"/>
                <w:sz w:val="20"/>
                <w:szCs w:val="20"/>
                <w:lang w:val="en-CA"/>
              </w:rPr>
              <w:t xml:space="preserve">Topics: </w:t>
            </w:r>
            <w:r w:rsidRPr="000B12ED">
              <w:rPr>
                <w:rFonts w:ascii="Cambria" w:hAnsi="Cambria"/>
                <w:sz w:val="20"/>
                <w:szCs w:val="20"/>
              </w:rPr>
              <w:t xml:space="preserve"> </w:t>
            </w:r>
            <w:r w:rsidRPr="000B12ED">
              <w:rPr>
                <w:rFonts w:ascii="Cambria" w:hAnsi="Cambria"/>
                <w:color w:val="000000"/>
                <w:sz w:val="20"/>
                <w:szCs w:val="20"/>
                <w:lang w:val="en-CA"/>
              </w:rPr>
              <w:t xml:space="preserve">Right to Compensation/ </w:t>
            </w:r>
            <w:r w:rsidRPr="000B12ED">
              <w:rPr>
                <w:rFonts w:ascii="Cambria" w:hAnsi="Cambria"/>
                <w:bCs/>
                <w:color w:val="000000"/>
                <w:sz w:val="20"/>
                <w:szCs w:val="20"/>
                <w:lang w:val="en-CA"/>
              </w:rPr>
              <w:t>Freedom of Movement and Residence/</w:t>
            </w:r>
            <w:r w:rsidRPr="000B12ED">
              <w:rPr>
                <w:rFonts w:ascii="Cambria" w:hAnsi="Cambria"/>
                <w:color w:val="000000"/>
                <w:sz w:val="20"/>
                <w:szCs w:val="20"/>
                <w:lang w:val="en-CA"/>
              </w:rPr>
              <w:t>Right to a Fair Trial/</w:t>
            </w:r>
            <w:r w:rsidRPr="000B12ED">
              <w:rPr>
                <w:rFonts w:ascii="Cambria" w:hAnsi="Cambria"/>
                <w:bCs/>
                <w:sz w:val="20"/>
                <w:szCs w:val="20"/>
              </w:rPr>
              <w:t xml:space="preserve"> </w:t>
            </w:r>
            <w:r w:rsidRPr="000B12ED">
              <w:rPr>
                <w:rFonts w:ascii="Cambria" w:hAnsi="Cambria"/>
                <w:color w:val="000000"/>
                <w:sz w:val="20"/>
                <w:szCs w:val="20"/>
                <w:lang w:val="en-CA"/>
              </w:rPr>
              <w:t>Right to Equal Protection</w:t>
            </w:r>
            <w:r w:rsidRPr="000B12ED">
              <w:rPr>
                <w:rFonts w:ascii="Cambria" w:hAnsi="Cambria"/>
                <w:bCs/>
                <w:color w:val="000000"/>
                <w:sz w:val="20"/>
                <w:szCs w:val="20"/>
                <w:lang w:val="en-CA"/>
              </w:rPr>
              <w:t>/ Judicial Protection</w:t>
            </w:r>
          </w:p>
          <w:p w14:paraId="20CDF1B1" w14:textId="5227710E" w:rsidR="007655EF" w:rsidRPr="000B12ED" w:rsidRDefault="007655EF" w:rsidP="007655EF">
            <w:pPr>
              <w:tabs>
                <w:tab w:val="center" w:pos="720"/>
              </w:tabs>
              <w:spacing w:line="240" w:lineRule="auto"/>
              <w:jc w:val="both"/>
              <w:rPr>
                <w:rFonts w:ascii="Cambria" w:hAnsi="Cambria"/>
                <w:bCs/>
                <w:color w:val="000000"/>
                <w:sz w:val="20"/>
                <w:szCs w:val="20"/>
              </w:rPr>
            </w:pPr>
            <w:r w:rsidRPr="000B12ED">
              <w:rPr>
                <w:rFonts w:ascii="Cambria" w:hAnsi="Cambria"/>
                <w:b/>
                <w:color w:val="000000"/>
                <w:sz w:val="20"/>
                <w:szCs w:val="20"/>
              </w:rPr>
              <w:t xml:space="preserve">Facts: </w:t>
            </w:r>
            <w:r w:rsidRPr="000B12ED">
              <w:rPr>
                <w:rFonts w:ascii="Cambria" w:hAnsi="Cambria"/>
                <w:bCs/>
                <w:color w:val="000000"/>
                <w:sz w:val="20"/>
                <w:szCs w:val="20"/>
              </w:rPr>
              <w:t>On December 30, 1994, the Inter-American Commission on Human Rights  received a petition presented by the organization Servicio Paz y Justicia (SERPAJ), the Center for Justice and International Law (CEJIL), the Asociación Justicialista de Abogados, Fernando Rizzi and Gaspar, alleging the international responsibility of the Plurinational State of Bolivia for the alleged violation of the human rights, to the detriment of Marcela Alejandra Porco, an Argentine citizen, 25 years of age at the time, who was allegedly held in a women's prison despite suffering from a mental illness; during her imprisonment she was allegedly the victim of torture, inhuman and degrading treatment, and sexual violence. The petitioner also denounced alleged irregularities in the criminal proceedings against Marcela Alejandra Porco.</w:t>
            </w:r>
          </w:p>
          <w:p w14:paraId="38FCE193" w14:textId="17BDE606" w:rsidR="006F75AC" w:rsidRPr="000B12ED" w:rsidRDefault="007655EF" w:rsidP="007655EF">
            <w:pPr>
              <w:tabs>
                <w:tab w:val="left" w:pos="9270"/>
              </w:tabs>
              <w:spacing w:after="0" w:line="240" w:lineRule="auto"/>
              <w:jc w:val="both"/>
              <w:rPr>
                <w:rFonts w:ascii="Cambria" w:eastAsia="Batang" w:hAnsi="Cambria"/>
                <w:color w:val="000000"/>
                <w:sz w:val="20"/>
                <w:szCs w:val="20"/>
              </w:rPr>
            </w:pPr>
            <w:r w:rsidRPr="000B12ED">
              <w:rPr>
                <w:rFonts w:ascii="Cambria" w:hAnsi="Cambria"/>
                <w:b/>
                <w:color w:val="000000"/>
                <w:sz w:val="20"/>
                <w:szCs w:val="20"/>
                <w:lang w:val="en-CA"/>
              </w:rPr>
              <w:t>Rights declared admissible:</w:t>
            </w:r>
            <w:r w:rsidRPr="000B12ED">
              <w:rPr>
                <w:rFonts w:ascii="Cambria" w:hAnsi="Cambria"/>
                <w:color w:val="000000"/>
                <w:sz w:val="20"/>
                <w:szCs w:val="20"/>
                <w:lang w:val="en-CA"/>
              </w:rPr>
              <w:t xml:space="preserve"> On March 4, 2008, during the 131st Regular Period of Sessions, the IACHR adopted Admissibility Report No. 8/08 and declared the petition admissible with respect to the alleged violation of the rights enshrined in Articles 5(1) (right to humane treatment), 7 (right to personal liberty), 8(1) (right to a fair trial), 11(1) (right to privacy) and 25 (right to judicial protection) of the American Convention in relation to Articles 1(1) and 2 of said instrument.</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4C466689" w14:textId="6D47F50C" w:rsidR="001541D4" w:rsidRPr="00610CB4" w:rsidRDefault="001541D4" w:rsidP="00610CB4">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7175E2" w:rsidRDefault="001541D4" w:rsidP="001541D4">
      <w:pPr>
        <w:spacing w:after="0" w:line="240" w:lineRule="auto"/>
        <w:ind w:firstLine="709"/>
        <w:contextualSpacing/>
        <w:jc w:val="both"/>
        <w:rPr>
          <w:rFonts w:ascii="Cambria" w:eastAsia="Batang" w:hAnsi="Cambria" w:cs="Calibri Light"/>
          <w:color w:val="000000"/>
        </w:rPr>
      </w:pPr>
    </w:p>
    <w:p w14:paraId="726B9F38" w14:textId="54E6AF18" w:rsidR="004E20DC" w:rsidRDefault="004E20DC" w:rsidP="004E20DC">
      <w:pPr>
        <w:pStyle w:val="ListParagraph"/>
        <w:numPr>
          <w:ilvl w:val="6"/>
          <w:numId w:val="37"/>
        </w:numPr>
        <w:spacing w:after="0" w:line="240" w:lineRule="auto"/>
        <w:ind w:left="0" w:firstLine="720"/>
        <w:jc w:val="both"/>
        <w:rPr>
          <w:rFonts w:ascii="Cambria" w:eastAsia="Batang" w:hAnsi="Cambria"/>
          <w:bCs/>
          <w:color w:val="080808"/>
          <w:sz w:val="20"/>
          <w:szCs w:val="20"/>
        </w:rPr>
      </w:pPr>
      <w:r w:rsidRPr="000B12ED">
        <w:rPr>
          <w:rFonts w:ascii="Cambria" w:eastAsia="Batang" w:hAnsi="Cambria"/>
          <w:bCs/>
          <w:color w:val="080808"/>
          <w:sz w:val="20"/>
          <w:szCs w:val="20"/>
        </w:rPr>
        <w:t>On May 30</w:t>
      </w:r>
      <w:r w:rsidRPr="000B12ED">
        <w:rPr>
          <w:rFonts w:ascii="Cambria" w:eastAsia="Batang" w:hAnsi="Cambria"/>
          <w:bCs/>
          <w:color w:val="080808"/>
          <w:sz w:val="20"/>
          <w:szCs w:val="20"/>
          <w:vertAlign w:val="superscript"/>
        </w:rPr>
        <w:t>th</w:t>
      </w:r>
      <w:r w:rsidRPr="000B12ED">
        <w:rPr>
          <w:rFonts w:ascii="Cambria" w:eastAsia="Batang" w:hAnsi="Cambria"/>
          <w:bCs/>
          <w:color w:val="080808"/>
          <w:sz w:val="20"/>
          <w:szCs w:val="20"/>
        </w:rPr>
        <w:t>, 2022, the parties signed a friendly settlement agreement.</w:t>
      </w:r>
    </w:p>
    <w:p w14:paraId="12955EF2" w14:textId="77777777" w:rsidR="004E20DC" w:rsidRPr="000B12ED" w:rsidRDefault="004E20DC" w:rsidP="000B12ED">
      <w:pPr>
        <w:pStyle w:val="ListParagraph"/>
        <w:spacing w:after="0" w:line="240" w:lineRule="auto"/>
        <w:jc w:val="both"/>
        <w:rPr>
          <w:rFonts w:ascii="Cambria" w:eastAsia="Batang" w:hAnsi="Cambria"/>
          <w:bCs/>
          <w:color w:val="080808"/>
          <w:sz w:val="20"/>
          <w:szCs w:val="20"/>
        </w:rPr>
      </w:pPr>
    </w:p>
    <w:p w14:paraId="438F0366" w14:textId="60D044DC" w:rsidR="008B6085" w:rsidRPr="00BA2363" w:rsidRDefault="004E20DC" w:rsidP="000B12ED">
      <w:pPr>
        <w:pStyle w:val="ListParagraph"/>
        <w:spacing w:line="240" w:lineRule="auto"/>
        <w:ind w:left="0" w:firstLine="720"/>
        <w:jc w:val="both"/>
        <w:rPr>
          <w:rFonts w:ascii="Cambria" w:hAnsi="Cambria"/>
        </w:rPr>
      </w:pPr>
      <w:r w:rsidRPr="000B12ED">
        <w:rPr>
          <w:rFonts w:ascii="Cambria" w:eastAsia="Batang" w:hAnsi="Cambria"/>
          <w:bCs/>
          <w:color w:val="080808"/>
          <w:sz w:val="20"/>
          <w:szCs w:val="20"/>
        </w:rPr>
        <w:t>2.</w:t>
      </w:r>
      <w:r w:rsidRPr="000B12ED">
        <w:rPr>
          <w:rFonts w:ascii="Cambria" w:eastAsia="Batang" w:hAnsi="Cambria"/>
          <w:bCs/>
          <w:color w:val="080808"/>
          <w:sz w:val="20"/>
          <w:szCs w:val="20"/>
        </w:rPr>
        <w:tab/>
        <w:t>On November 30, 2023, t</w:t>
      </w:r>
      <w:r w:rsidR="007655EF" w:rsidRPr="000B12ED">
        <w:rPr>
          <w:rFonts w:ascii="Cambria" w:eastAsia="Batang" w:hAnsi="Cambria"/>
          <w:bCs/>
          <w:color w:val="080808"/>
          <w:sz w:val="20"/>
          <w:szCs w:val="20"/>
        </w:rPr>
        <w:t>he IACHR published the friendly settlement report</w:t>
      </w:r>
      <w:r w:rsidRPr="000B12ED">
        <w:rPr>
          <w:rFonts w:ascii="Cambria" w:eastAsia="Batang" w:hAnsi="Cambria"/>
          <w:bCs/>
          <w:color w:val="080808"/>
          <w:sz w:val="20"/>
          <w:szCs w:val="20"/>
        </w:rPr>
        <w:t xml:space="preserve"> </w:t>
      </w:r>
      <w:r w:rsidRPr="004E20DC">
        <w:rPr>
          <w:rFonts w:ascii="Cambria" w:eastAsia="Batang" w:hAnsi="Cambria"/>
          <w:bCs/>
          <w:color w:val="080808"/>
          <w:sz w:val="20"/>
          <w:szCs w:val="20"/>
        </w:rPr>
        <w:t>N. º</w:t>
      </w:r>
      <w:r w:rsidRPr="000B12ED">
        <w:rPr>
          <w:rFonts w:ascii="Cambria" w:eastAsia="Batang" w:hAnsi="Cambria"/>
          <w:bCs/>
          <w:color w:val="080808"/>
          <w:sz w:val="20"/>
          <w:szCs w:val="20"/>
        </w:rPr>
        <w:t xml:space="preserve"> 270/23</w:t>
      </w:r>
      <w:r w:rsidR="008B6085">
        <w:rPr>
          <w:rFonts w:ascii="Cambria" w:eastAsia="Batang" w:hAnsi="Cambria"/>
          <w:bCs/>
          <w:color w:val="080808"/>
          <w:sz w:val="20"/>
          <w:szCs w:val="20"/>
        </w:rPr>
        <w:t xml:space="preserve">, </w:t>
      </w:r>
      <w:r w:rsidR="008B6085" w:rsidRPr="00BA2363">
        <w:rPr>
          <w:rFonts w:ascii="Cambria" w:hAnsi="Cambria"/>
          <w:sz w:val="20"/>
          <w:szCs w:val="20"/>
        </w:rPr>
        <w:t>approving the friendly settlement agreement and accounting for its full compliance, and consequently decided to cease its supervision and close the case.</w:t>
      </w:r>
    </w:p>
    <w:p w14:paraId="5883DA06" w14:textId="77777777" w:rsidR="005C414D" w:rsidRPr="007655EF" w:rsidRDefault="005C414D" w:rsidP="000B12ED">
      <w:pPr>
        <w:pStyle w:val="ListParagraph"/>
        <w:ind w:left="0" w:firstLine="720"/>
        <w:rPr>
          <w:rFonts w:eastAsia="Batang" w:cs="Calibri Light"/>
          <w:color w:val="000000"/>
        </w:rPr>
        <w:sectPr w:rsidR="005C414D" w:rsidRPr="007655EF" w:rsidSect="004B10B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p>
    <w:p w14:paraId="554FEE1F" w14:textId="77777777" w:rsidR="001541D4" w:rsidRPr="007175E2" w:rsidRDefault="001541D4" w:rsidP="004E20DC">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4E20DC"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0B12ED" w:rsidRDefault="003E6F57" w:rsidP="00F024F0">
            <w:pPr>
              <w:tabs>
                <w:tab w:val="center" w:pos="2049"/>
              </w:tabs>
              <w:spacing w:after="0" w:line="240" w:lineRule="auto"/>
              <w:jc w:val="center"/>
              <w:rPr>
                <w:rFonts w:ascii="Cambria" w:eastAsia="Batang" w:hAnsi="Cambria"/>
                <w:b/>
                <w:color w:val="000000"/>
                <w:sz w:val="20"/>
                <w:szCs w:val="20"/>
              </w:rPr>
            </w:pPr>
            <w:r w:rsidRPr="000B12ED">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0B12ED" w:rsidRDefault="003E6F57" w:rsidP="00F024F0">
            <w:pPr>
              <w:spacing w:after="0" w:line="240" w:lineRule="auto"/>
              <w:jc w:val="center"/>
              <w:rPr>
                <w:rFonts w:ascii="Cambria" w:eastAsia="Batang" w:hAnsi="Cambria"/>
                <w:b/>
                <w:color w:val="000000"/>
                <w:sz w:val="20"/>
                <w:szCs w:val="20"/>
              </w:rPr>
            </w:pPr>
            <w:r w:rsidRPr="000B12ED">
              <w:rPr>
                <w:rFonts w:ascii="Cambria" w:eastAsia="Batang" w:hAnsi="Cambria"/>
                <w:b/>
                <w:color w:val="000000"/>
                <w:sz w:val="20"/>
                <w:szCs w:val="20"/>
              </w:rPr>
              <w:t xml:space="preserve">Status of Implementation </w:t>
            </w:r>
          </w:p>
        </w:tc>
      </w:tr>
      <w:tr w:rsidR="004B30AB" w:rsidRPr="004E20DC" w14:paraId="05E01043" w14:textId="77777777" w:rsidTr="00ED54E7">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0F40E5F" w14:textId="6B257782" w:rsidR="004B30AB" w:rsidRPr="000B12ED" w:rsidRDefault="004B30AB" w:rsidP="004B30AB">
            <w:pPr>
              <w:spacing w:after="0" w:line="240" w:lineRule="auto"/>
              <w:jc w:val="both"/>
              <w:rPr>
                <w:rFonts w:ascii="Cambria" w:eastAsia="MS Mincho" w:hAnsi="Cambria"/>
                <w:b/>
                <w:sz w:val="20"/>
                <w:szCs w:val="20"/>
                <w:lang w:eastAsia="es-ES_tradnl"/>
              </w:rPr>
            </w:pPr>
            <w:r w:rsidRPr="000B12ED">
              <w:rPr>
                <w:rFonts w:ascii="Cambria" w:hAnsi="Cambria"/>
                <w:b/>
                <w:bCs/>
                <w:color w:val="000000"/>
                <w:sz w:val="20"/>
                <w:szCs w:val="20"/>
              </w:rPr>
              <w:t>I.</w:t>
            </w:r>
            <w:r w:rsidRPr="000B12ED">
              <w:rPr>
                <w:rFonts w:ascii="Cambria" w:hAnsi="Cambria"/>
                <w:b/>
                <w:bCs/>
                <w:color w:val="000000"/>
                <w:sz w:val="20"/>
                <w:szCs w:val="20"/>
              </w:rPr>
              <w:tab/>
              <w:t>BACKGROUND OF THE FRIENDLY SETTLEMENT AGREEMENT</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77777777" w:rsidR="004B30AB" w:rsidRPr="000B12ED" w:rsidRDefault="004B30AB" w:rsidP="004B30AB">
            <w:pPr>
              <w:spacing w:after="0" w:line="240" w:lineRule="auto"/>
              <w:jc w:val="center"/>
              <w:rPr>
                <w:rFonts w:ascii="Cambria" w:hAnsi="Cambria"/>
                <w:b/>
                <w:sz w:val="20"/>
                <w:szCs w:val="20"/>
              </w:rPr>
            </w:pPr>
            <w:r w:rsidRPr="000B12ED">
              <w:rPr>
                <w:rFonts w:ascii="Cambria" w:eastAsia="Batang" w:hAnsi="Cambria"/>
                <w:b/>
                <w:color w:val="000000"/>
                <w:sz w:val="20"/>
                <w:szCs w:val="20"/>
                <w:lang w:eastAsia="es-ES_tradnl"/>
              </w:rPr>
              <w:t xml:space="preserve">Declarative clause </w:t>
            </w:r>
          </w:p>
        </w:tc>
      </w:tr>
      <w:tr w:rsidR="004B30AB" w:rsidRPr="004E20DC" w14:paraId="6133689B" w14:textId="77777777" w:rsidTr="00ED54E7">
        <w:trPr>
          <w:trHeight w:val="6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4DE29DF2" w14:textId="1766AA85" w:rsidR="004B30AB" w:rsidRPr="000B12ED" w:rsidRDefault="004B30AB" w:rsidP="004B30AB">
            <w:pPr>
              <w:spacing w:after="0" w:line="240" w:lineRule="auto"/>
              <w:ind w:right="72"/>
              <w:jc w:val="both"/>
              <w:rPr>
                <w:rFonts w:ascii="Cambria" w:hAnsi="Cambria"/>
                <w:bCs/>
                <w:color w:val="000000"/>
                <w:kern w:val="36"/>
                <w:sz w:val="20"/>
                <w:szCs w:val="20"/>
              </w:rPr>
            </w:pPr>
            <w:r w:rsidRPr="000B12ED">
              <w:rPr>
                <w:rFonts w:ascii="Cambria" w:hAnsi="Cambria"/>
                <w:b/>
                <w:bCs/>
                <w:color w:val="000000"/>
                <w:sz w:val="20"/>
                <w:szCs w:val="20"/>
              </w:rPr>
              <w:t>II.</w:t>
            </w:r>
            <w:r w:rsidRPr="000B12ED">
              <w:rPr>
                <w:rFonts w:ascii="Cambria" w:hAnsi="Cambria"/>
                <w:b/>
                <w:bCs/>
                <w:color w:val="000000"/>
                <w:sz w:val="20"/>
                <w:szCs w:val="20"/>
              </w:rPr>
              <w:tab/>
              <w:t>FRIENDLY SETTLEMENT PROCEEDING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77777777" w:rsidR="004B30AB" w:rsidRPr="000B12ED" w:rsidRDefault="004B30AB" w:rsidP="004B30AB">
            <w:pPr>
              <w:spacing w:after="0" w:line="240" w:lineRule="auto"/>
              <w:jc w:val="center"/>
              <w:rPr>
                <w:rFonts w:ascii="Cambria" w:eastAsia="Batang" w:hAnsi="Cambria"/>
                <w:b/>
                <w:bCs/>
                <w:color w:val="000000"/>
                <w:sz w:val="20"/>
                <w:szCs w:val="20"/>
              </w:rPr>
            </w:pPr>
            <w:r w:rsidRPr="000B12ED">
              <w:rPr>
                <w:rFonts w:ascii="Cambria" w:eastAsia="Batang" w:hAnsi="Cambria"/>
                <w:b/>
                <w:bCs/>
                <w:color w:val="000000"/>
                <w:sz w:val="20"/>
                <w:szCs w:val="20"/>
                <w:lang w:eastAsia="es-ES_tradnl"/>
              </w:rPr>
              <w:t xml:space="preserve">Declarative clause </w:t>
            </w:r>
          </w:p>
        </w:tc>
      </w:tr>
      <w:tr w:rsidR="003E6F57" w:rsidRPr="004E20DC" w14:paraId="0C4AA553"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07D09462" w14:textId="77777777" w:rsidR="004B30AB" w:rsidRPr="000B12ED" w:rsidRDefault="004B30AB" w:rsidP="004B30AB">
            <w:pPr>
              <w:spacing w:after="0" w:line="240" w:lineRule="auto"/>
              <w:jc w:val="both"/>
              <w:rPr>
                <w:rFonts w:ascii="Cambria" w:eastAsia="Batang" w:hAnsi="Cambria"/>
                <w:b/>
                <w:bCs/>
                <w:color w:val="080808"/>
                <w:sz w:val="20"/>
                <w:szCs w:val="20"/>
              </w:rPr>
            </w:pPr>
            <w:r w:rsidRPr="000B12ED">
              <w:rPr>
                <w:rFonts w:ascii="Cambria" w:eastAsia="Batang" w:hAnsi="Cambria"/>
                <w:b/>
                <w:bCs/>
                <w:color w:val="080808"/>
                <w:sz w:val="20"/>
                <w:szCs w:val="20"/>
              </w:rPr>
              <w:t>III.</w:t>
            </w:r>
            <w:r w:rsidRPr="000B12ED">
              <w:rPr>
                <w:rFonts w:ascii="Cambria" w:eastAsia="Batang" w:hAnsi="Cambria"/>
                <w:b/>
                <w:bCs/>
                <w:color w:val="080808"/>
                <w:sz w:val="20"/>
                <w:szCs w:val="20"/>
              </w:rPr>
              <w:tab/>
              <w:t xml:space="preserve">ACKNOWLEDGMENT OF RESPONSIBILITY AS A SATISFACTION MEASURE </w:t>
            </w:r>
          </w:p>
          <w:p w14:paraId="67D93948" w14:textId="77777777" w:rsidR="004B30AB" w:rsidRPr="000B12ED" w:rsidRDefault="004B30AB" w:rsidP="004B30AB">
            <w:pPr>
              <w:spacing w:after="0" w:line="240" w:lineRule="auto"/>
              <w:jc w:val="both"/>
              <w:rPr>
                <w:rFonts w:ascii="Cambria" w:eastAsia="Batang" w:hAnsi="Cambria"/>
                <w:bCs/>
                <w:color w:val="080808"/>
                <w:sz w:val="20"/>
                <w:szCs w:val="20"/>
              </w:rPr>
            </w:pPr>
            <w:r w:rsidRPr="000B12ED">
              <w:rPr>
                <w:rFonts w:ascii="Cambria" w:eastAsia="Batang" w:hAnsi="Cambria"/>
                <w:bCs/>
                <w:color w:val="080808"/>
                <w:sz w:val="20"/>
                <w:szCs w:val="20"/>
              </w:rPr>
              <w:t>The Bolivian State recognizes its international responsibility for the violation of Marcela Alejandra Porco's rights to humane treatment, personal liberty, fair trial, privacy and judicial protection, recognized in articles 5.1, 7, 8.1, 11.1 and 25 of the ACHR, all in accordance with the general obligations to respect and guarantee the rights set forth in articles 1.1 and 2 of said international instrument.</w:t>
            </w:r>
          </w:p>
          <w:p w14:paraId="0E34A83C" w14:textId="13777C84" w:rsidR="003E6F57" w:rsidRPr="000B12ED" w:rsidRDefault="004B30AB" w:rsidP="004B30AB">
            <w:pPr>
              <w:spacing w:after="0" w:line="240" w:lineRule="auto"/>
              <w:ind w:right="72"/>
              <w:jc w:val="both"/>
              <w:rPr>
                <w:rFonts w:ascii="Cambria" w:eastAsia="Times New Roman" w:hAnsi="Cambria"/>
                <w:bCs/>
                <w:sz w:val="20"/>
                <w:szCs w:val="20"/>
              </w:rPr>
            </w:pPr>
            <w:r w:rsidRPr="000B12ED">
              <w:rPr>
                <w:rFonts w:ascii="Cambria" w:eastAsia="Batang" w:hAnsi="Cambria"/>
                <w:bCs/>
                <w:color w:val="080808"/>
                <w:sz w:val="20"/>
                <w:szCs w:val="20"/>
              </w:rPr>
              <w:t>The recognition of the State's responsibility for the violation of the aforementioned human rights will be embodied in a formal missive addressed to Antonela Grisi and Gaspar Porco, signed by the State Attorney General, in his capacity as legal representative of the State, which will include an apology for the rights violations configured in the Admissibility Report No. 8/08 of March 4, 2008. Said letter shall be submitted in the framework of this international proceeding within a period of three (3) months computable as of the signature of this FSA.</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3E6F57" w:rsidRPr="000B12ED" w:rsidRDefault="003E6F57" w:rsidP="00F024F0">
            <w:pPr>
              <w:spacing w:after="0" w:line="240" w:lineRule="auto"/>
              <w:jc w:val="center"/>
              <w:rPr>
                <w:rFonts w:ascii="Cambria" w:hAnsi="Cambria"/>
                <w:b/>
                <w:color w:val="000000"/>
                <w:sz w:val="20"/>
                <w:szCs w:val="20"/>
              </w:rPr>
            </w:pPr>
            <w:r w:rsidRPr="000B12ED">
              <w:rPr>
                <w:rFonts w:ascii="Cambria" w:hAnsi="Cambria"/>
                <w:b/>
                <w:sz w:val="20"/>
                <w:szCs w:val="20"/>
              </w:rPr>
              <w:t>Total</w:t>
            </w:r>
            <w:r w:rsidRPr="000B12ED">
              <w:rPr>
                <w:rFonts w:ascii="Cambria" w:eastAsia="MS Mincho" w:hAnsi="Cambria"/>
                <w:b/>
                <w:sz w:val="20"/>
                <w:szCs w:val="20"/>
                <w:vertAlign w:val="superscript"/>
                <w:lang w:eastAsia="es-ES_tradnl"/>
              </w:rPr>
              <w:footnoteReference w:id="1"/>
            </w:r>
          </w:p>
        </w:tc>
      </w:tr>
      <w:tr w:rsidR="00EE03B5" w:rsidRPr="004E20DC" w14:paraId="484F8DAC" w14:textId="77777777" w:rsidTr="00CE2733">
        <w:trPr>
          <w:trHeight w:val="274"/>
          <w:jc w:val="center"/>
        </w:trPr>
        <w:tc>
          <w:tcPr>
            <w:tcW w:w="9356" w:type="dxa"/>
            <w:gridSpan w:val="2"/>
            <w:tcBorders>
              <w:top w:val="single" w:sz="4" w:space="0" w:color="auto"/>
              <w:left w:val="single" w:sz="4" w:space="0" w:color="auto"/>
              <w:bottom w:val="single" w:sz="4" w:space="0" w:color="auto"/>
              <w:right w:val="single" w:sz="4" w:space="0" w:color="auto"/>
            </w:tcBorders>
          </w:tcPr>
          <w:p w14:paraId="1859CE64" w14:textId="589D5C2A" w:rsidR="00EE03B5" w:rsidRPr="000B12ED" w:rsidRDefault="00EE03B5" w:rsidP="00EE03B5">
            <w:pPr>
              <w:spacing w:after="0" w:line="240" w:lineRule="auto"/>
              <w:rPr>
                <w:rFonts w:ascii="Cambria" w:eastAsia="Batang" w:hAnsi="Cambria"/>
                <w:b/>
                <w:color w:val="000000"/>
                <w:sz w:val="20"/>
                <w:szCs w:val="20"/>
                <w:lang w:eastAsia="es-ES_tradnl"/>
              </w:rPr>
            </w:pPr>
            <w:r w:rsidRPr="000B12ED">
              <w:rPr>
                <w:rFonts w:ascii="Cambria" w:eastAsia="Batang" w:hAnsi="Cambria"/>
                <w:b/>
                <w:bCs/>
                <w:color w:val="000000"/>
                <w:sz w:val="20"/>
                <w:szCs w:val="20"/>
                <w:lang w:eastAsia="es-ES_tradnl"/>
              </w:rPr>
              <w:t>IV.</w:t>
            </w:r>
            <w:r w:rsidRPr="000B12ED">
              <w:rPr>
                <w:rFonts w:ascii="Cambria" w:eastAsia="Batang" w:hAnsi="Cambria"/>
                <w:b/>
                <w:bCs/>
                <w:color w:val="000000"/>
                <w:sz w:val="20"/>
                <w:szCs w:val="20"/>
                <w:lang w:eastAsia="es-ES_tradnl"/>
              </w:rPr>
              <w:tab/>
              <w:t>NON-REPETITION MEASURES</w:t>
            </w:r>
          </w:p>
        </w:tc>
      </w:tr>
      <w:tr w:rsidR="003E6F57" w:rsidRPr="004E20DC" w14:paraId="29CCA4D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5156A7CB" w14:textId="77777777" w:rsidR="00DD39E8" w:rsidRPr="000B12ED" w:rsidRDefault="00DD39E8" w:rsidP="00DD39E8">
            <w:pPr>
              <w:spacing w:after="0" w:line="240" w:lineRule="auto"/>
              <w:jc w:val="both"/>
              <w:rPr>
                <w:rFonts w:ascii="Cambria" w:eastAsia="Batang" w:hAnsi="Cambria"/>
                <w:b/>
                <w:bCs/>
                <w:color w:val="080808"/>
                <w:sz w:val="20"/>
                <w:szCs w:val="20"/>
              </w:rPr>
            </w:pPr>
            <w:r w:rsidRPr="000B12ED">
              <w:rPr>
                <w:rFonts w:ascii="Cambria" w:eastAsia="Batang" w:hAnsi="Cambria"/>
                <w:b/>
                <w:bCs/>
                <w:color w:val="080808"/>
                <w:sz w:val="20"/>
                <w:szCs w:val="20"/>
              </w:rPr>
              <w:t>1.</w:t>
            </w:r>
            <w:r w:rsidRPr="000B12ED">
              <w:rPr>
                <w:rFonts w:ascii="Cambria" w:eastAsia="Batang" w:hAnsi="Cambria"/>
                <w:b/>
                <w:bCs/>
                <w:color w:val="080808"/>
                <w:sz w:val="20"/>
                <w:szCs w:val="20"/>
              </w:rPr>
              <w:tab/>
              <w:t>Legislative reform</w:t>
            </w:r>
          </w:p>
          <w:p w14:paraId="04700A4A" w14:textId="77777777" w:rsidR="00DD39E8" w:rsidRPr="000B12ED" w:rsidRDefault="00DD39E8" w:rsidP="00DD39E8">
            <w:pPr>
              <w:spacing w:after="0" w:line="240" w:lineRule="auto"/>
              <w:jc w:val="both"/>
              <w:rPr>
                <w:rFonts w:ascii="Cambria" w:eastAsia="Batang" w:hAnsi="Cambria"/>
                <w:bCs/>
                <w:color w:val="080808"/>
                <w:sz w:val="20"/>
                <w:szCs w:val="20"/>
              </w:rPr>
            </w:pPr>
            <w:r w:rsidRPr="000B12ED">
              <w:rPr>
                <w:rFonts w:ascii="Cambria" w:eastAsia="Batang" w:hAnsi="Cambria"/>
                <w:bCs/>
                <w:color w:val="080808"/>
                <w:sz w:val="20"/>
                <w:szCs w:val="20"/>
              </w:rPr>
              <w:t>In 2019, in the framework of the negotiations of this FSA, previously agreed with the petitioner, a Bill was presented to the Chamber of Deputies to amend Article 295 of the Criminal Code, in accordance with the Inter-American Convention to Prevent and Punish Torture, the recommendations of the Concluding Observations on the Second Report of the Plurinational State of Bolivia, adopted by the Committee against Torture at its 50th Session (A/56/44) and other international instruments related to the prevention of torture, which was subsequently returned with observations to the drafting institutions.</w:t>
            </w:r>
          </w:p>
          <w:p w14:paraId="59476FCE" w14:textId="77777777" w:rsidR="00DD39E8" w:rsidRPr="000B12ED" w:rsidRDefault="00DD39E8" w:rsidP="00DD39E8">
            <w:pPr>
              <w:spacing w:after="0" w:line="240" w:lineRule="auto"/>
              <w:jc w:val="both"/>
              <w:rPr>
                <w:rFonts w:ascii="Cambria" w:eastAsia="Batang" w:hAnsi="Cambria"/>
                <w:bCs/>
                <w:color w:val="080808"/>
                <w:sz w:val="20"/>
                <w:szCs w:val="20"/>
              </w:rPr>
            </w:pPr>
            <w:r w:rsidRPr="000B12ED">
              <w:rPr>
                <w:rFonts w:ascii="Cambria" w:eastAsia="Batang" w:hAnsi="Cambria"/>
                <w:bCs/>
                <w:color w:val="080808"/>
                <w:sz w:val="20"/>
                <w:szCs w:val="20"/>
              </w:rPr>
              <w:t>On August 16, 2021, the Service for the Prevention of Torture ("SEPRET") sent to the Ministry of Justice and Institutional Transparency, two proposed amendments to Article 295 of the Criminal Code, to be analyzed and once the final version of the Bill is drafted, the State undertakes to share it with the petitioning party to receive its final comments and to submit it to the Plurinational Legislative Assembly for approval.</w:t>
            </w:r>
          </w:p>
          <w:p w14:paraId="7EC4F4AA" w14:textId="24991126" w:rsidR="003E6F57" w:rsidRPr="000B12ED" w:rsidRDefault="00DD39E8" w:rsidP="00DD39E8">
            <w:pPr>
              <w:spacing w:after="0" w:line="240" w:lineRule="auto"/>
              <w:ind w:right="72"/>
              <w:jc w:val="both"/>
              <w:rPr>
                <w:rFonts w:ascii="Cambria" w:eastAsia="Times New Roman" w:hAnsi="Cambria"/>
                <w:bCs/>
                <w:sz w:val="20"/>
                <w:szCs w:val="20"/>
              </w:rPr>
            </w:pPr>
            <w:r w:rsidRPr="000B12ED">
              <w:rPr>
                <w:rFonts w:ascii="Cambria" w:eastAsia="Batang" w:hAnsi="Cambria"/>
                <w:bCs/>
                <w:color w:val="080808"/>
                <w:sz w:val="20"/>
                <w:szCs w:val="20"/>
              </w:rPr>
              <w:t>Said presentation shall be made within a period of four (4) months as of the signature of this FSA; and the necessary efforts shall be made so that the Draft Law is approved within a reasonable period of time.</w:t>
            </w:r>
          </w:p>
        </w:tc>
        <w:tc>
          <w:tcPr>
            <w:tcW w:w="1985" w:type="dxa"/>
            <w:tcBorders>
              <w:top w:val="single" w:sz="4" w:space="0" w:color="auto"/>
              <w:left w:val="single" w:sz="4" w:space="0" w:color="auto"/>
              <w:bottom w:val="single" w:sz="4" w:space="0" w:color="auto"/>
              <w:right w:val="single" w:sz="4" w:space="0" w:color="auto"/>
            </w:tcBorders>
            <w:vAlign w:val="center"/>
          </w:tcPr>
          <w:p w14:paraId="64EB168A" w14:textId="77777777" w:rsidR="003E6F57" w:rsidRPr="000B12ED" w:rsidRDefault="003E6F57" w:rsidP="00F024F0">
            <w:pPr>
              <w:spacing w:after="0" w:line="240" w:lineRule="auto"/>
              <w:jc w:val="center"/>
              <w:rPr>
                <w:rFonts w:ascii="Cambria" w:hAnsi="Cambria"/>
                <w:b/>
                <w:color w:val="000000"/>
                <w:sz w:val="20"/>
                <w:szCs w:val="20"/>
              </w:rPr>
            </w:pPr>
            <w:r w:rsidRPr="000B12ED">
              <w:rPr>
                <w:rFonts w:ascii="Cambria" w:eastAsia="Batang" w:hAnsi="Cambria"/>
                <w:b/>
                <w:color w:val="000000"/>
                <w:sz w:val="20"/>
                <w:szCs w:val="20"/>
                <w:lang w:eastAsia="es-ES_tradnl"/>
              </w:rPr>
              <w:t>Total</w:t>
            </w:r>
            <w:r w:rsidRPr="000B12ED">
              <w:rPr>
                <w:rFonts w:ascii="Cambria" w:eastAsia="Batang" w:hAnsi="Cambria"/>
                <w:b/>
                <w:color w:val="000000"/>
                <w:sz w:val="20"/>
                <w:szCs w:val="20"/>
                <w:vertAlign w:val="superscript"/>
                <w:lang w:eastAsia="es-ES_tradnl"/>
              </w:rPr>
              <w:footnoteReference w:id="2"/>
            </w:r>
          </w:p>
        </w:tc>
      </w:tr>
      <w:tr w:rsidR="00DD39E8" w:rsidRPr="004E20DC" w14:paraId="1103E6A9"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3CB33171" w14:textId="77777777" w:rsidR="00DD39E8" w:rsidRPr="000B12ED" w:rsidRDefault="00DD39E8" w:rsidP="00DD39E8">
            <w:pPr>
              <w:spacing w:after="0" w:line="240" w:lineRule="auto"/>
              <w:jc w:val="both"/>
              <w:rPr>
                <w:rFonts w:ascii="Cambria" w:eastAsia="Batang" w:hAnsi="Cambria"/>
                <w:b/>
                <w:bCs/>
                <w:color w:val="080808"/>
                <w:sz w:val="20"/>
                <w:szCs w:val="20"/>
              </w:rPr>
            </w:pPr>
            <w:r w:rsidRPr="000B12ED">
              <w:rPr>
                <w:rFonts w:ascii="Cambria" w:eastAsia="Batang" w:hAnsi="Cambria"/>
                <w:b/>
                <w:bCs/>
                <w:color w:val="080808"/>
                <w:sz w:val="20"/>
                <w:szCs w:val="20"/>
              </w:rPr>
              <w:t>2.</w:t>
            </w:r>
            <w:r w:rsidRPr="000B12ED">
              <w:rPr>
                <w:rFonts w:ascii="Cambria" w:eastAsia="Batang" w:hAnsi="Cambria"/>
                <w:b/>
                <w:bCs/>
                <w:color w:val="080808"/>
                <w:sz w:val="20"/>
                <w:szCs w:val="20"/>
              </w:rPr>
              <w:tab/>
              <w:t xml:space="preserve">Right to truth, justice and guarantees of non-repetition </w:t>
            </w:r>
          </w:p>
          <w:p w14:paraId="417CA04E" w14:textId="77777777" w:rsidR="00DD39E8" w:rsidRPr="000B12ED" w:rsidRDefault="00DD39E8" w:rsidP="00DD39E8">
            <w:pPr>
              <w:spacing w:after="0" w:line="240" w:lineRule="auto"/>
              <w:jc w:val="both"/>
              <w:rPr>
                <w:rFonts w:ascii="Cambria" w:eastAsia="Batang" w:hAnsi="Cambria"/>
                <w:color w:val="080808"/>
                <w:sz w:val="20"/>
                <w:szCs w:val="20"/>
              </w:rPr>
            </w:pPr>
            <w:r w:rsidRPr="000B12ED">
              <w:rPr>
                <w:rFonts w:ascii="Cambria" w:eastAsia="Batang" w:hAnsi="Cambria"/>
                <w:color w:val="080808"/>
                <w:sz w:val="20"/>
                <w:szCs w:val="20"/>
              </w:rPr>
              <w:t xml:space="preserve">The Plurinational State of Bolivia recognizes the right to truth and justice of all victims of serious human rights violations. Accordingly, the State explored the feasibility of filing a criminal complaint but taking into account the passage of time and the death of the victim, this proved to be unfeasible. </w:t>
            </w:r>
          </w:p>
          <w:p w14:paraId="4BF49B95" w14:textId="651EAB86" w:rsidR="00DD39E8" w:rsidRPr="000B12ED" w:rsidRDefault="00DD39E8" w:rsidP="00DD39E8">
            <w:pPr>
              <w:spacing w:after="0" w:line="240" w:lineRule="auto"/>
              <w:jc w:val="both"/>
              <w:rPr>
                <w:rFonts w:ascii="Cambria" w:eastAsia="Batang" w:hAnsi="Cambria"/>
                <w:b/>
                <w:bCs/>
                <w:color w:val="080808"/>
                <w:sz w:val="20"/>
                <w:szCs w:val="20"/>
              </w:rPr>
            </w:pPr>
            <w:r w:rsidRPr="000B12ED">
              <w:rPr>
                <w:rFonts w:ascii="Cambria" w:eastAsia="Batang" w:hAnsi="Cambria"/>
                <w:color w:val="080808"/>
                <w:sz w:val="20"/>
                <w:szCs w:val="20"/>
              </w:rPr>
              <w:lastRenderedPageBreak/>
              <w:t>Therefore, in order to contribute to the non-repetition of the facts related to this case, the State undertakes to issue, through the Ministry of Government, an internal instruction of national scope, addressed to the General Directorate of the Penitentiary Regime and the General Command of the Bolivian Police, reminding them that the State is in a special position of guarantor with respect to persons deprived of liberty, and that as such, it assumes specific duties to respect and guarantee the fundamental rights of these persons; In particular, the rights to life and personal integrity, the realization of which is an indispensable condition for the achievement of the essential purposes of the sentence of deprivation of liberty: the reform and social readaptation of convicted persons. It will also recall the obligation to comply with the Principles and Best Practices on the Protection of Persons Deprived of Liberty in the Americas, as well as the United Nations Standard Minimum Rules for the Treatment of Prisoners (Nelson Mandela Rules), mainly in relation to medical care and humane treatment, according to which all persons deprived of liberty will be treated humanely, with unrestricted respect for their inherent dignity, their fundamental rights and guarantees, and in strict compliance with international human rights instruments and the responsibilities derived from their non-compliance. Likewise, the instruction shall make specific reference to the facts of this case, its content and wording shall be previously agreed upon with the victim and his representatives.</w:t>
            </w:r>
          </w:p>
        </w:tc>
        <w:tc>
          <w:tcPr>
            <w:tcW w:w="1985" w:type="dxa"/>
            <w:tcBorders>
              <w:top w:val="single" w:sz="4" w:space="0" w:color="auto"/>
              <w:left w:val="single" w:sz="4" w:space="0" w:color="auto"/>
              <w:bottom w:val="single" w:sz="4" w:space="0" w:color="auto"/>
              <w:right w:val="single" w:sz="4" w:space="0" w:color="auto"/>
            </w:tcBorders>
            <w:vAlign w:val="center"/>
          </w:tcPr>
          <w:p w14:paraId="02019027" w14:textId="3A025BD8" w:rsidR="00DD39E8" w:rsidRPr="000B12ED" w:rsidRDefault="00ED54E7" w:rsidP="00F024F0">
            <w:pPr>
              <w:spacing w:after="0" w:line="240" w:lineRule="auto"/>
              <w:jc w:val="center"/>
              <w:rPr>
                <w:rFonts w:ascii="Cambria" w:eastAsia="Batang" w:hAnsi="Cambria"/>
                <w:b/>
                <w:color w:val="000000"/>
                <w:sz w:val="20"/>
                <w:szCs w:val="20"/>
                <w:lang w:eastAsia="es-ES_tradnl"/>
              </w:rPr>
            </w:pPr>
            <w:r w:rsidRPr="000B12ED">
              <w:rPr>
                <w:rFonts w:ascii="Cambria" w:eastAsia="Batang" w:hAnsi="Cambria"/>
                <w:b/>
                <w:color w:val="000000"/>
                <w:sz w:val="20"/>
                <w:szCs w:val="20"/>
                <w:lang w:eastAsia="es-ES_tradnl"/>
              </w:rPr>
              <w:lastRenderedPageBreak/>
              <w:t>Total</w:t>
            </w:r>
            <w:r w:rsidRPr="000B12ED">
              <w:rPr>
                <w:rStyle w:val="FootnoteReference"/>
                <w:rFonts w:ascii="Cambria" w:eastAsia="Batang" w:hAnsi="Cambria"/>
                <w:b/>
                <w:color w:val="000000"/>
                <w:sz w:val="20"/>
                <w:szCs w:val="20"/>
                <w:lang w:eastAsia="es-ES_tradnl"/>
              </w:rPr>
              <w:footnoteReference w:id="3"/>
            </w:r>
          </w:p>
        </w:tc>
      </w:tr>
      <w:tr w:rsidR="00ED54E7" w:rsidRPr="004E20DC" w14:paraId="6948723D" w14:textId="77777777" w:rsidTr="00ED54E7">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29718B40" w14:textId="77777777" w:rsidR="00ED54E7" w:rsidRPr="000B12ED" w:rsidRDefault="00ED54E7" w:rsidP="00ED54E7">
            <w:pPr>
              <w:spacing w:after="0" w:line="240" w:lineRule="auto"/>
              <w:jc w:val="both"/>
              <w:rPr>
                <w:rFonts w:ascii="Cambria" w:eastAsia="Batang" w:hAnsi="Cambria"/>
                <w:b/>
                <w:bCs/>
                <w:color w:val="080808"/>
                <w:sz w:val="20"/>
                <w:szCs w:val="20"/>
              </w:rPr>
            </w:pPr>
            <w:r w:rsidRPr="000B12ED">
              <w:rPr>
                <w:rFonts w:ascii="Cambria" w:eastAsia="Batang" w:hAnsi="Cambria"/>
                <w:b/>
                <w:bCs/>
                <w:color w:val="080808"/>
                <w:sz w:val="20"/>
                <w:szCs w:val="20"/>
              </w:rPr>
              <w:t>V.</w:t>
            </w:r>
            <w:r w:rsidRPr="000B12ED">
              <w:rPr>
                <w:rFonts w:ascii="Cambria" w:eastAsia="Batang" w:hAnsi="Cambria"/>
                <w:b/>
                <w:bCs/>
                <w:color w:val="080808"/>
                <w:sz w:val="20"/>
                <w:szCs w:val="20"/>
              </w:rPr>
              <w:tab/>
              <w:t xml:space="preserve">COMPENSATION </w:t>
            </w:r>
          </w:p>
          <w:p w14:paraId="03F7EC33" w14:textId="77777777" w:rsidR="00ED54E7" w:rsidRPr="000B12ED" w:rsidRDefault="00ED54E7" w:rsidP="00ED54E7">
            <w:pPr>
              <w:spacing w:after="0" w:line="240" w:lineRule="auto"/>
              <w:jc w:val="both"/>
              <w:rPr>
                <w:rFonts w:ascii="Cambria" w:eastAsia="Batang" w:hAnsi="Cambria"/>
                <w:color w:val="080808"/>
                <w:sz w:val="20"/>
                <w:szCs w:val="20"/>
              </w:rPr>
            </w:pPr>
            <w:r w:rsidRPr="000B12ED">
              <w:rPr>
                <w:rFonts w:ascii="Cambria" w:eastAsia="Batang" w:hAnsi="Cambria"/>
                <w:color w:val="080808"/>
                <w:sz w:val="20"/>
                <w:szCs w:val="20"/>
              </w:rPr>
              <w:t xml:space="preserve">The State undertakes to compensate Antonela Grisi, daughter of Marcela Alejandra Porco, for the violations of rights indicated in the Admissibility Report No. 8/08 of March 4, 2008, with a one-time payment of U$ 12,000 (TWELVE THOUSAND 00/100 AMERICAN DOLLARS), which will be materialized through a Decree and must be made within one (1) year, as of the signature of this FSA. Considering that Antonela Grisi resides in Argentina, the payment will be made through an international bank transfer. </w:t>
            </w:r>
          </w:p>
          <w:p w14:paraId="592D0923" w14:textId="77777777" w:rsidR="00ED54E7" w:rsidRPr="000B12ED" w:rsidRDefault="00ED54E7" w:rsidP="00ED54E7">
            <w:pPr>
              <w:spacing w:after="0" w:line="240" w:lineRule="auto"/>
              <w:jc w:val="both"/>
              <w:rPr>
                <w:rFonts w:ascii="Cambria" w:eastAsia="Batang" w:hAnsi="Cambria"/>
                <w:color w:val="080808"/>
                <w:sz w:val="20"/>
                <w:szCs w:val="20"/>
              </w:rPr>
            </w:pPr>
            <w:r w:rsidRPr="000B12ED">
              <w:rPr>
                <w:rFonts w:ascii="Cambria" w:eastAsia="Batang" w:hAnsi="Cambria"/>
                <w:color w:val="080808"/>
                <w:sz w:val="20"/>
                <w:szCs w:val="20"/>
              </w:rPr>
              <w:t>However, the State will only be responsible for the payment of compensation to Antonela Grisi and will not be responsible for any other payment related to the facts referred to in this case.</w:t>
            </w:r>
          </w:p>
          <w:p w14:paraId="582A878F" w14:textId="2FC46ECA" w:rsidR="00ED54E7" w:rsidRPr="000B12ED" w:rsidRDefault="00ED54E7" w:rsidP="00ED54E7">
            <w:pPr>
              <w:spacing w:after="0" w:line="240" w:lineRule="auto"/>
              <w:jc w:val="both"/>
              <w:rPr>
                <w:rFonts w:ascii="Cambria" w:eastAsia="Batang" w:hAnsi="Cambria"/>
                <w:b/>
                <w:bCs/>
                <w:color w:val="080808"/>
                <w:sz w:val="20"/>
                <w:szCs w:val="20"/>
              </w:rPr>
            </w:pPr>
            <w:r w:rsidRPr="000B12ED">
              <w:rPr>
                <w:rFonts w:ascii="Cambria" w:eastAsia="Batang" w:hAnsi="Cambria"/>
                <w:color w:val="080808"/>
                <w:sz w:val="20"/>
                <w:szCs w:val="20"/>
              </w:rPr>
              <w:t>Furthermore, Antonela Grisi, Gaspar Porco and CEJIL definitively and irrevocably waive the right to initiate any other claim of any nature with the Bolivian State in relation to the facts that gave rise to this case.</w:t>
            </w:r>
          </w:p>
        </w:tc>
        <w:tc>
          <w:tcPr>
            <w:tcW w:w="1985" w:type="dxa"/>
            <w:tcBorders>
              <w:top w:val="single" w:sz="4" w:space="0" w:color="auto"/>
              <w:left w:val="single" w:sz="4" w:space="0" w:color="auto"/>
              <w:bottom w:val="single" w:sz="4" w:space="0" w:color="auto"/>
              <w:right w:val="single" w:sz="4" w:space="0" w:color="auto"/>
            </w:tcBorders>
            <w:vAlign w:val="center"/>
          </w:tcPr>
          <w:p w14:paraId="729F6DE9" w14:textId="7F9E2923" w:rsidR="00ED54E7" w:rsidRPr="000B12ED" w:rsidRDefault="00ED54E7" w:rsidP="00F024F0">
            <w:pPr>
              <w:spacing w:after="0" w:line="240" w:lineRule="auto"/>
              <w:jc w:val="center"/>
              <w:rPr>
                <w:rFonts w:ascii="Cambria" w:eastAsia="Batang" w:hAnsi="Cambria"/>
                <w:b/>
                <w:color w:val="000000"/>
                <w:sz w:val="20"/>
                <w:szCs w:val="20"/>
                <w:lang w:eastAsia="es-ES_tradnl"/>
              </w:rPr>
            </w:pPr>
            <w:r w:rsidRPr="000B12ED">
              <w:rPr>
                <w:rFonts w:ascii="Cambria" w:eastAsia="Batang" w:hAnsi="Cambria"/>
                <w:b/>
                <w:color w:val="000000"/>
                <w:sz w:val="20"/>
                <w:szCs w:val="20"/>
                <w:lang w:eastAsia="es-ES_tradnl"/>
              </w:rPr>
              <w:t>Total</w:t>
            </w:r>
            <w:r w:rsidRPr="000B12ED">
              <w:rPr>
                <w:rStyle w:val="FootnoteReference"/>
                <w:rFonts w:ascii="Cambria" w:eastAsia="Batang" w:hAnsi="Cambria"/>
                <w:b/>
                <w:color w:val="000000"/>
                <w:sz w:val="20"/>
                <w:szCs w:val="20"/>
                <w:lang w:eastAsia="es-ES_tradnl"/>
              </w:rPr>
              <w:footnoteReference w:id="4"/>
            </w:r>
          </w:p>
        </w:tc>
      </w:tr>
      <w:tr w:rsidR="00ED54E7" w:rsidRPr="004E20DC" w14:paraId="56EFF5E2" w14:textId="77777777" w:rsidTr="00ED54E7">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5C66B730" w14:textId="4656A043" w:rsidR="00ED54E7" w:rsidRPr="000B12ED" w:rsidRDefault="00ED54E7" w:rsidP="00ED54E7">
            <w:pPr>
              <w:spacing w:after="0" w:line="240" w:lineRule="auto"/>
              <w:jc w:val="both"/>
              <w:rPr>
                <w:rFonts w:ascii="Cambria" w:eastAsia="Batang" w:hAnsi="Cambria"/>
                <w:b/>
                <w:bCs/>
                <w:color w:val="080808"/>
                <w:sz w:val="20"/>
                <w:szCs w:val="20"/>
              </w:rPr>
            </w:pPr>
            <w:r w:rsidRPr="000B12ED">
              <w:rPr>
                <w:rFonts w:ascii="Cambria" w:hAnsi="Cambria"/>
                <w:b/>
                <w:bCs/>
                <w:color w:val="000000"/>
                <w:sz w:val="20"/>
                <w:szCs w:val="20"/>
                <w:lang w:val="en-CA"/>
              </w:rPr>
              <w:t>VI.</w:t>
            </w:r>
            <w:r w:rsidRPr="000B12ED">
              <w:rPr>
                <w:rFonts w:ascii="Cambria" w:hAnsi="Cambria"/>
                <w:b/>
                <w:bCs/>
                <w:color w:val="000000"/>
                <w:sz w:val="20"/>
                <w:szCs w:val="20"/>
                <w:lang w:val="en-CA"/>
              </w:rPr>
              <w:tab/>
              <w:t>NOTIFICATION TO THE IACHR</w:t>
            </w:r>
          </w:p>
        </w:tc>
        <w:tc>
          <w:tcPr>
            <w:tcW w:w="1985" w:type="dxa"/>
            <w:tcBorders>
              <w:top w:val="single" w:sz="4" w:space="0" w:color="auto"/>
              <w:left w:val="single" w:sz="4" w:space="0" w:color="auto"/>
              <w:bottom w:val="single" w:sz="4" w:space="0" w:color="auto"/>
              <w:right w:val="single" w:sz="4" w:space="0" w:color="auto"/>
            </w:tcBorders>
            <w:vAlign w:val="center"/>
          </w:tcPr>
          <w:p w14:paraId="6B8E8E24" w14:textId="044F054F" w:rsidR="00ED54E7" w:rsidRPr="000B12ED" w:rsidRDefault="00ED54E7" w:rsidP="00ED54E7">
            <w:pPr>
              <w:spacing w:after="0" w:line="240" w:lineRule="auto"/>
              <w:jc w:val="center"/>
              <w:rPr>
                <w:rFonts w:ascii="Cambria" w:eastAsia="Batang" w:hAnsi="Cambria"/>
                <w:b/>
                <w:color w:val="000000"/>
                <w:sz w:val="20"/>
                <w:szCs w:val="20"/>
                <w:lang w:eastAsia="es-ES_tradnl"/>
              </w:rPr>
            </w:pPr>
            <w:r w:rsidRPr="000B12ED">
              <w:rPr>
                <w:rFonts w:ascii="Cambria" w:hAnsi="Cambria"/>
                <w:b/>
                <w:color w:val="000000"/>
                <w:sz w:val="20"/>
                <w:szCs w:val="20"/>
              </w:rPr>
              <w:t>Declarative clause</w:t>
            </w:r>
          </w:p>
        </w:tc>
      </w:tr>
      <w:tr w:rsidR="00ED54E7" w:rsidRPr="004E20DC" w14:paraId="52DE7CC5" w14:textId="77777777" w:rsidTr="00ED54E7">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02553F4D" w14:textId="668B4871" w:rsidR="00ED54E7" w:rsidRPr="000B12ED" w:rsidRDefault="00ED54E7" w:rsidP="00ED54E7">
            <w:pPr>
              <w:spacing w:after="0" w:line="240" w:lineRule="auto"/>
              <w:jc w:val="both"/>
              <w:rPr>
                <w:rFonts w:ascii="Cambria" w:eastAsia="Batang" w:hAnsi="Cambria"/>
                <w:b/>
                <w:bCs/>
                <w:color w:val="080808"/>
                <w:sz w:val="20"/>
                <w:szCs w:val="20"/>
              </w:rPr>
            </w:pPr>
            <w:r w:rsidRPr="000B12ED">
              <w:rPr>
                <w:rFonts w:ascii="Cambria" w:hAnsi="Cambria"/>
                <w:b/>
                <w:bCs/>
                <w:color w:val="000000"/>
                <w:sz w:val="20"/>
                <w:szCs w:val="20"/>
              </w:rPr>
              <w:t>VII.</w:t>
            </w:r>
            <w:r w:rsidRPr="000B12ED">
              <w:rPr>
                <w:rFonts w:ascii="Cambria" w:hAnsi="Cambria"/>
                <w:b/>
                <w:bCs/>
                <w:color w:val="000000"/>
                <w:sz w:val="20"/>
                <w:szCs w:val="20"/>
              </w:rPr>
              <w:tab/>
              <w:t>CONFORMITY</w:t>
            </w:r>
          </w:p>
        </w:tc>
        <w:tc>
          <w:tcPr>
            <w:tcW w:w="1985" w:type="dxa"/>
            <w:tcBorders>
              <w:top w:val="single" w:sz="4" w:space="0" w:color="auto"/>
              <w:left w:val="single" w:sz="4" w:space="0" w:color="auto"/>
              <w:bottom w:val="single" w:sz="4" w:space="0" w:color="auto"/>
              <w:right w:val="single" w:sz="4" w:space="0" w:color="auto"/>
            </w:tcBorders>
            <w:vAlign w:val="center"/>
          </w:tcPr>
          <w:p w14:paraId="1B6A2A1E" w14:textId="0866FF5B" w:rsidR="00ED54E7" w:rsidRPr="000B12ED" w:rsidRDefault="00ED54E7" w:rsidP="00ED54E7">
            <w:pPr>
              <w:spacing w:after="0" w:line="240" w:lineRule="auto"/>
              <w:jc w:val="center"/>
              <w:rPr>
                <w:rFonts w:ascii="Cambria" w:eastAsia="Batang" w:hAnsi="Cambria"/>
                <w:b/>
                <w:color w:val="000000"/>
                <w:sz w:val="20"/>
                <w:szCs w:val="20"/>
                <w:lang w:eastAsia="es-ES_tradnl"/>
              </w:rPr>
            </w:pPr>
            <w:r w:rsidRPr="000B12ED">
              <w:rPr>
                <w:rFonts w:ascii="Cambria" w:hAnsi="Cambria"/>
                <w:b/>
                <w:color w:val="000000"/>
                <w:sz w:val="20"/>
                <w:szCs w:val="20"/>
              </w:rPr>
              <w:t>Declarative clause</w:t>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298B4D5E" w14:textId="7268FB5A" w:rsidR="0041128D" w:rsidRDefault="003E6F57" w:rsidP="004E20DC">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663A80A7" w14:textId="77777777" w:rsidR="0041128D" w:rsidRPr="0041128D" w:rsidRDefault="0041128D" w:rsidP="0041128D">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3123FC99" w14:textId="171C8A2D" w:rsidR="0041128D" w:rsidRPr="000B12ED" w:rsidRDefault="0041128D" w:rsidP="000B12ED">
      <w:pPr>
        <w:pStyle w:val="ListParagraph"/>
        <w:numPr>
          <w:ilvl w:val="0"/>
          <w:numId w:val="46"/>
        </w:numPr>
        <w:tabs>
          <w:tab w:val="left" w:pos="720"/>
        </w:tabs>
        <w:autoSpaceDE w:val="0"/>
        <w:autoSpaceDN w:val="0"/>
        <w:adjustRightInd w:val="0"/>
        <w:spacing w:after="0" w:line="240" w:lineRule="auto"/>
        <w:ind w:left="0" w:firstLine="720"/>
        <w:jc w:val="both"/>
        <w:rPr>
          <w:rFonts w:ascii="Cambria" w:eastAsia="Batang" w:hAnsi="Cambria" w:cs="Calibri Light"/>
          <w:b/>
          <w:color w:val="000000"/>
          <w:sz w:val="20"/>
          <w:szCs w:val="20"/>
        </w:rPr>
      </w:pPr>
      <w:r w:rsidRPr="000B12ED">
        <w:rPr>
          <w:rFonts w:ascii="Cambria" w:hAnsi="Cambria"/>
          <w:color w:val="080808"/>
          <w:sz w:val="20"/>
          <w:szCs w:val="20"/>
        </w:rPr>
        <w:t xml:space="preserve">The Commission declared full compliance with the case and the ceasing of the follow-up of the friendly settlement agreement in the </w:t>
      </w:r>
      <w:r w:rsidR="008B6085" w:rsidRPr="00BA2363">
        <w:rPr>
          <w:rFonts w:ascii="Cambria" w:hAnsi="Cambria"/>
          <w:color w:val="080808"/>
          <w:sz w:val="20"/>
          <w:szCs w:val="20"/>
        </w:rPr>
        <w:t>2023 Annual Report.</w:t>
      </w:r>
    </w:p>
    <w:p w14:paraId="1A149EE1" w14:textId="77777777" w:rsidR="0041128D" w:rsidRPr="0041128D" w:rsidRDefault="0041128D" w:rsidP="0041128D">
      <w:pPr>
        <w:pStyle w:val="ListParagraph"/>
        <w:tabs>
          <w:tab w:val="left" w:pos="720"/>
        </w:tabs>
        <w:autoSpaceDE w:val="0"/>
        <w:autoSpaceDN w:val="0"/>
        <w:adjustRightInd w:val="0"/>
        <w:spacing w:after="0" w:line="240" w:lineRule="auto"/>
        <w:ind w:left="709"/>
        <w:jc w:val="both"/>
        <w:rPr>
          <w:rFonts w:ascii="Cambria" w:eastAsia="Batang" w:hAnsi="Cambria" w:cs="Calibri Light"/>
          <w:b/>
          <w:color w:val="000000"/>
        </w:rPr>
      </w:pPr>
    </w:p>
    <w:p w14:paraId="24A8A1AE" w14:textId="3EB3C224" w:rsidR="00ED54E7" w:rsidRPr="00137E89" w:rsidRDefault="00ED54E7" w:rsidP="004E20DC">
      <w:pPr>
        <w:pStyle w:val="ListParagraph"/>
        <w:numPr>
          <w:ilvl w:val="0"/>
          <w:numId w:val="37"/>
        </w:numPr>
        <w:spacing w:after="0" w:line="240" w:lineRule="auto"/>
        <w:rPr>
          <w:rFonts w:ascii="Cambria" w:hAnsi="Cambria" w:cs="Calibri Light"/>
          <w:b/>
          <w:color w:val="000000"/>
        </w:rPr>
      </w:pPr>
      <w:r w:rsidRPr="0041128D">
        <w:rPr>
          <w:rFonts w:ascii="Cambria" w:hAnsi="Cambria"/>
          <w:b/>
          <w:color w:val="000000"/>
        </w:rPr>
        <w:t>INDIVIDUAL AND STRUCTURAL OUTCOMES OF THE CASE</w:t>
      </w:r>
    </w:p>
    <w:p w14:paraId="19787C4B" w14:textId="77777777" w:rsidR="00137E89" w:rsidRPr="00137E89" w:rsidRDefault="00137E89" w:rsidP="00137E89">
      <w:pPr>
        <w:pStyle w:val="ListParagraph"/>
        <w:spacing w:after="0" w:line="240" w:lineRule="auto"/>
        <w:ind w:left="1440"/>
        <w:rPr>
          <w:rFonts w:ascii="Cambria" w:hAnsi="Cambria" w:cs="Calibri Light"/>
          <w:b/>
          <w:color w:val="000000"/>
        </w:rPr>
      </w:pPr>
    </w:p>
    <w:p w14:paraId="29AD383B" w14:textId="77777777" w:rsidR="00137E89" w:rsidRPr="000B12ED" w:rsidRDefault="00137E89" w:rsidP="00137E89">
      <w:pPr>
        <w:numPr>
          <w:ilvl w:val="0"/>
          <w:numId w:val="43"/>
        </w:numPr>
        <w:spacing w:after="0" w:line="240" w:lineRule="auto"/>
        <w:ind w:left="1418" w:hanging="709"/>
        <w:rPr>
          <w:rFonts w:ascii="Cambria" w:hAnsi="Cambria" w:cs="Calibri Light"/>
          <w:b/>
          <w:color w:val="000000"/>
          <w:sz w:val="20"/>
          <w:szCs w:val="20"/>
        </w:rPr>
      </w:pPr>
      <w:r w:rsidRPr="000B12ED">
        <w:rPr>
          <w:rFonts w:ascii="Cambria" w:hAnsi="Cambria" w:cs="Calibri Light"/>
          <w:b/>
          <w:color w:val="000000"/>
          <w:sz w:val="20"/>
          <w:szCs w:val="20"/>
        </w:rPr>
        <w:t>Individual outcomes of the case</w:t>
      </w:r>
    </w:p>
    <w:p w14:paraId="1E7BEBA0" w14:textId="77777777" w:rsidR="00AA1620" w:rsidRPr="000B12ED" w:rsidRDefault="00AA1620" w:rsidP="00AA1620">
      <w:pPr>
        <w:spacing w:after="0" w:line="240" w:lineRule="auto"/>
        <w:ind w:left="1418"/>
        <w:rPr>
          <w:rFonts w:ascii="Cambria" w:hAnsi="Cambria" w:cs="Calibri Light"/>
          <w:b/>
          <w:color w:val="000000"/>
          <w:sz w:val="20"/>
          <w:szCs w:val="20"/>
        </w:rPr>
      </w:pPr>
    </w:p>
    <w:p w14:paraId="737DD105" w14:textId="77777777" w:rsidR="00137E89" w:rsidRPr="000B12ED" w:rsidRDefault="00137E89" w:rsidP="00AA1620">
      <w:pPr>
        <w:numPr>
          <w:ilvl w:val="0"/>
          <w:numId w:val="42"/>
        </w:numPr>
        <w:spacing w:after="0" w:line="240" w:lineRule="auto"/>
        <w:ind w:left="1418" w:hanging="709"/>
        <w:jc w:val="both"/>
        <w:rPr>
          <w:rFonts w:ascii="Cambria" w:hAnsi="Cambria" w:cs="Calibri Light"/>
          <w:bCs/>
          <w:color w:val="000000"/>
          <w:sz w:val="20"/>
          <w:szCs w:val="20"/>
        </w:rPr>
      </w:pPr>
      <w:r w:rsidRPr="000B12ED">
        <w:rPr>
          <w:rFonts w:ascii="Cambria" w:hAnsi="Cambria" w:cs="Calibri Light"/>
          <w:bCs/>
          <w:color w:val="000000"/>
          <w:sz w:val="20"/>
          <w:szCs w:val="20"/>
        </w:rPr>
        <w:t xml:space="preserve">On September 19, 2022, a symbolic act of delivery and reading of a letter of redress was carried out in virtual mode which was recorded on the YouTube web page of the Attorney General's Office. Subsequently, the parties informed that, by means of official letter PGE-DESP No. 1896/2022 of September 27, 2002, the Attorney General's Office sent a copy of the letter of </w:t>
      </w:r>
      <w:r w:rsidRPr="000B12ED">
        <w:rPr>
          <w:rFonts w:ascii="Cambria" w:hAnsi="Cambria" w:cs="Calibri Light"/>
          <w:bCs/>
          <w:color w:val="000000"/>
          <w:sz w:val="20"/>
          <w:szCs w:val="20"/>
        </w:rPr>
        <w:lastRenderedPageBreak/>
        <w:t>acknowledgment of international responsibility and apology, signed by the Attorney General of the State, which was sent through the Embassy of Bolivia in Buenos Aires to Antonela Grisi.</w:t>
      </w:r>
    </w:p>
    <w:p w14:paraId="28F43108" w14:textId="5C4686B1" w:rsidR="00137E89" w:rsidRPr="000B12ED" w:rsidRDefault="00137E89" w:rsidP="00AA1620">
      <w:pPr>
        <w:numPr>
          <w:ilvl w:val="0"/>
          <w:numId w:val="42"/>
        </w:numPr>
        <w:spacing w:after="0" w:line="240" w:lineRule="auto"/>
        <w:ind w:left="1418" w:hanging="709"/>
        <w:jc w:val="both"/>
        <w:rPr>
          <w:rFonts w:ascii="Cambria" w:hAnsi="Cambria" w:cs="Calibri Light"/>
          <w:bCs/>
          <w:color w:val="000000"/>
          <w:sz w:val="20"/>
          <w:szCs w:val="20"/>
        </w:rPr>
      </w:pPr>
      <w:r w:rsidRPr="000B12ED">
        <w:rPr>
          <w:rFonts w:ascii="Cambria" w:hAnsi="Cambria" w:cs="Calibri Light"/>
          <w:bCs/>
          <w:color w:val="000000"/>
          <w:sz w:val="20"/>
          <w:szCs w:val="20"/>
        </w:rPr>
        <w:t>The parties stated that the totality of the compensation in favor of Antonela Grisi was cancelled.</w:t>
      </w:r>
    </w:p>
    <w:p w14:paraId="5F7618C8" w14:textId="77777777" w:rsidR="00137E89" w:rsidRPr="000B12ED" w:rsidRDefault="00137E89" w:rsidP="00137E89">
      <w:pPr>
        <w:spacing w:after="0" w:line="240" w:lineRule="auto"/>
        <w:ind w:left="1418"/>
        <w:rPr>
          <w:rFonts w:ascii="Cambria" w:hAnsi="Cambria" w:cs="Calibri Light"/>
          <w:bCs/>
          <w:color w:val="000000"/>
          <w:sz w:val="20"/>
          <w:szCs w:val="20"/>
        </w:rPr>
      </w:pPr>
    </w:p>
    <w:p w14:paraId="620337E3" w14:textId="16EBD91E" w:rsidR="00137E89" w:rsidRPr="000B12ED" w:rsidRDefault="00137E89" w:rsidP="00137E89">
      <w:pPr>
        <w:pStyle w:val="ListParagraph"/>
        <w:numPr>
          <w:ilvl w:val="0"/>
          <w:numId w:val="43"/>
        </w:numPr>
        <w:spacing w:after="0" w:line="240" w:lineRule="auto"/>
        <w:ind w:left="1418" w:hanging="709"/>
        <w:jc w:val="both"/>
        <w:rPr>
          <w:rFonts w:ascii="Cambria" w:hAnsi="Cambria"/>
          <w:b/>
          <w:bCs/>
          <w:sz w:val="20"/>
          <w:szCs w:val="20"/>
        </w:rPr>
      </w:pPr>
      <w:r w:rsidRPr="000B12ED">
        <w:rPr>
          <w:rFonts w:ascii="Cambria" w:hAnsi="Cambria"/>
          <w:b/>
          <w:bCs/>
          <w:sz w:val="20"/>
          <w:szCs w:val="20"/>
        </w:rPr>
        <w:t>Structural outcomes of the case</w:t>
      </w:r>
    </w:p>
    <w:p w14:paraId="2A398589" w14:textId="77777777" w:rsidR="00137E89" w:rsidRPr="000B12ED" w:rsidRDefault="00137E89" w:rsidP="00137E89">
      <w:pPr>
        <w:spacing w:after="0" w:line="240" w:lineRule="auto"/>
        <w:rPr>
          <w:rFonts w:ascii="Cambria" w:hAnsi="Cambria" w:cs="Calibri Light"/>
          <w:bCs/>
          <w:color w:val="000000"/>
          <w:sz w:val="20"/>
          <w:szCs w:val="20"/>
        </w:rPr>
      </w:pPr>
    </w:p>
    <w:p w14:paraId="7BC4A6C4" w14:textId="77777777" w:rsidR="00137E89" w:rsidRPr="000B12ED" w:rsidRDefault="00137E89" w:rsidP="00AA1620">
      <w:pPr>
        <w:numPr>
          <w:ilvl w:val="0"/>
          <w:numId w:val="44"/>
        </w:numPr>
        <w:spacing w:after="0" w:line="240" w:lineRule="auto"/>
        <w:ind w:left="1418" w:hanging="709"/>
        <w:jc w:val="both"/>
        <w:rPr>
          <w:rFonts w:ascii="Cambria" w:hAnsi="Cambria" w:cs="Calibri Light"/>
          <w:bCs/>
          <w:color w:val="000000"/>
          <w:sz w:val="20"/>
          <w:szCs w:val="20"/>
          <w:lang w:val="en-CA"/>
        </w:rPr>
      </w:pPr>
      <w:r w:rsidRPr="000B12ED">
        <w:rPr>
          <w:rFonts w:ascii="Cambria" w:hAnsi="Cambria" w:cs="Calibri Light"/>
          <w:bCs/>
          <w:color w:val="000000"/>
          <w:sz w:val="20"/>
          <w:szCs w:val="20"/>
          <w:lang w:val="en-CA"/>
        </w:rPr>
        <w:t>During the month of March 2023, the Ministry of Justice and Institutional Transparency submitted to the Chamber of Deputies the Bill called "</w:t>
      </w:r>
      <w:r w:rsidRPr="000B12ED">
        <w:rPr>
          <w:rFonts w:ascii="Cambria" w:hAnsi="Cambria" w:cs="Calibri Light"/>
          <w:bCs/>
          <w:i/>
          <w:iCs/>
          <w:color w:val="000000"/>
          <w:sz w:val="20"/>
          <w:szCs w:val="20"/>
          <w:lang w:val="en-CA"/>
        </w:rPr>
        <w:t>Law on Compliance with International Human Rights Commitments</w:t>
      </w:r>
      <w:r w:rsidRPr="000B12ED">
        <w:rPr>
          <w:rFonts w:ascii="Cambria" w:hAnsi="Cambria" w:cs="Calibri Light"/>
          <w:bCs/>
          <w:color w:val="000000"/>
          <w:sz w:val="20"/>
          <w:szCs w:val="20"/>
          <w:lang w:val="en-CA"/>
        </w:rPr>
        <w:t>", which incorporated the Technical Legal Report, Statement of Reasons and Bill for the amendment of Article 295 and the incorporation of Articles 295 bis and 295 ter to the Penal Code approved by Law 1768 of March 10, 1997.</w:t>
      </w:r>
    </w:p>
    <w:p w14:paraId="423EB0C7" w14:textId="77777777" w:rsidR="00137E89" w:rsidRPr="000B12ED" w:rsidRDefault="00137E89" w:rsidP="00AA1620">
      <w:pPr>
        <w:numPr>
          <w:ilvl w:val="0"/>
          <w:numId w:val="44"/>
        </w:numPr>
        <w:spacing w:after="0" w:line="240" w:lineRule="auto"/>
        <w:ind w:left="1418" w:hanging="709"/>
        <w:jc w:val="both"/>
        <w:rPr>
          <w:rFonts w:ascii="Cambria" w:hAnsi="Cambria" w:cs="Calibri Light"/>
          <w:bCs/>
          <w:color w:val="000000"/>
          <w:sz w:val="20"/>
          <w:szCs w:val="20"/>
          <w:lang w:val="en-CA"/>
        </w:rPr>
      </w:pPr>
      <w:r w:rsidRPr="000B12ED">
        <w:rPr>
          <w:rFonts w:ascii="Cambria" w:hAnsi="Cambria" w:cs="Calibri Light"/>
          <w:bCs/>
          <w:color w:val="000000"/>
          <w:sz w:val="20"/>
          <w:szCs w:val="20"/>
          <w:lang w:val="en-CA"/>
        </w:rPr>
        <w:t>The Ministry of Government issued the Instructive MIN.GOB-INS.DESP No. 012/2023, addressed to public servants of the Bolivian Police, as well as to the General Directorate of Penitentiary Regime, with the objective that such public servants who have in their custody persons deprived of their liberty, apply the established procedures, framing their actions in the Political Constitution of the State, norms and International Treaties in the framework of Human Rights, Organic Law of the National Police, Manual of Basic Techniques of Police Intervention in the context of Human Rights and legal regulations in force.</w:t>
      </w:r>
    </w:p>
    <w:p w14:paraId="58126877" w14:textId="43358A0F" w:rsidR="0041128D" w:rsidRPr="00AA1620" w:rsidRDefault="0041128D" w:rsidP="00AA1620">
      <w:pPr>
        <w:spacing w:after="0" w:line="240" w:lineRule="auto"/>
        <w:jc w:val="both"/>
        <w:rPr>
          <w:rFonts w:ascii="Cambria" w:eastAsia="Batang" w:hAnsi="Cambria" w:cs="Calibri Light"/>
          <w:color w:val="000000"/>
        </w:rPr>
      </w:pPr>
    </w:p>
    <w:p w14:paraId="348955C8" w14:textId="7B471EB1" w:rsidR="003E6F57" w:rsidRPr="006F75AC" w:rsidRDefault="003E6F57" w:rsidP="00AA1620">
      <w:pPr>
        <w:tabs>
          <w:tab w:val="left" w:pos="0"/>
        </w:tabs>
        <w:spacing w:after="0" w:line="240" w:lineRule="auto"/>
        <w:ind w:right="4"/>
        <w:contextualSpacing/>
        <w:jc w:val="both"/>
        <w:rPr>
          <w:rFonts w:ascii="Cambria" w:eastAsia="MS Mincho" w:hAnsi="Cambria"/>
          <w:color w:val="000000"/>
          <w:highlight w:val="yellow"/>
        </w:rPr>
      </w:pPr>
    </w:p>
    <w:sectPr w:rsidR="003E6F57" w:rsidRPr="006F75AC" w:rsidSect="004B1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90A6" w14:textId="77777777" w:rsidR="009237E9" w:rsidRDefault="009237E9" w:rsidP="00A343FF">
      <w:pPr>
        <w:spacing w:after="0" w:line="240" w:lineRule="auto"/>
      </w:pPr>
      <w:r>
        <w:separator/>
      </w:r>
    </w:p>
  </w:endnote>
  <w:endnote w:type="continuationSeparator" w:id="0">
    <w:p w14:paraId="6536AC2C" w14:textId="77777777" w:rsidR="009237E9" w:rsidRDefault="009237E9"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234D53"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288" name="Pictur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ECF3" w14:textId="77777777" w:rsidR="009237E9" w:rsidRDefault="009237E9" w:rsidP="00A343FF">
      <w:pPr>
        <w:spacing w:after="0" w:line="240" w:lineRule="auto"/>
      </w:pPr>
      <w:r>
        <w:separator/>
      </w:r>
    </w:p>
  </w:footnote>
  <w:footnote w:type="continuationSeparator" w:id="0">
    <w:p w14:paraId="795F3697" w14:textId="77777777" w:rsidR="009237E9" w:rsidRDefault="009237E9" w:rsidP="00A343FF">
      <w:pPr>
        <w:spacing w:after="0" w:line="240" w:lineRule="auto"/>
      </w:pPr>
      <w:r>
        <w:continuationSeparator/>
      </w:r>
    </w:p>
  </w:footnote>
  <w:footnote w:id="1">
    <w:p w14:paraId="5E55D9F7" w14:textId="3CED9D1D" w:rsidR="003E6F57" w:rsidRPr="004E20DC" w:rsidRDefault="003E6F57" w:rsidP="007175E2">
      <w:pPr>
        <w:pStyle w:val="FootnoteText"/>
        <w:ind w:firstLine="709"/>
        <w:jc w:val="both"/>
        <w:rPr>
          <w:rFonts w:ascii="Cambria" w:hAnsi="Cambria"/>
          <w:color w:val="000000" w:themeColor="text1"/>
          <w:sz w:val="16"/>
          <w:szCs w:val="16"/>
        </w:rPr>
      </w:pPr>
      <w:r w:rsidRPr="000B12ED">
        <w:rPr>
          <w:rFonts w:ascii="Cambria" w:hAnsi="Cambria"/>
          <w:color w:val="000000"/>
          <w:sz w:val="16"/>
          <w:szCs w:val="16"/>
          <w:vertAlign w:val="superscript"/>
        </w:rPr>
        <w:footnoteRef/>
      </w:r>
      <w:r w:rsidRPr="000B12ED">
        <w:rPr>
          <w:rFonts w:ascii="Cambria" w:hAnsi="Cambria"/>
          <w:color w:val="000000"/>
          <w:sz w:val="16"/>
          <w:szCs w:val="16"/>
        </w:rPr>
        <w:t xml:space="preserve"> </w:t>
      </w:r>
      <w:r w:rsidR="00AE4535" w:rsidRPr="000B12ED">
        <w:rPr>
          <w:rFonts w:ascii="Cambria" w:hAnsi="Cambria"/>
          <w:color w:val="000000" w:themeColor="text1"/>
          <w:sz w:val="16"/>
          <w:szCs w:val="16"/>
          <w:lang w:eastAsia="es-ES_tradnl"/>
        </w:rPr>
        <w:t xml:space="preserve">IACHR, Report No. 270/23, Case 11.426. Friendly Settlement. </w:t>
      </w:r>
      <w:r w:rsidR="00AE4535" w:rsidRPr="000B12ED">
        <w:rPr>
          <w:rFonts w:ascii="Cambria" w:hAnsi="Cambria"/>
          <w:bCs/>
          <w:color w:val="000000" w:themeColor="text1"/>
          <w:sz w:val="16"/>
          <w:szCs w:val="16"/>
          <w:lang w:eastAsia="es-ES_tradnl"/>
        </w:rPr>
        <w:t>Marcela Alejandra Porco</w:t>
      </w:r>
      <w:r w:rsidR="00AE4535" w:rsidRPr="000B12ED">
        <w:rPr>
          <w:rFonts w:ascii="Cambria" w:hAnsi="Cambria"/>
          <w:color w:val="000000" w:themeColor="text1"/>
          <w:sz w:val="16"/>
          <w:szCs w:val="16"/>
          <w:lang w:eastAsia="es-ES_tradnl"/>
        </w:rPr>
        <w:t xml:space="preserve">. Bolivia. </w:t>
      </w:r>
      <w:r w:rsidR="004E20DC" w:rsidRPr="000B12ED">
        <w:rPr>
          <w:rFonts w:ascii="Cambria" w:hAnsi="Cambria"/>
          <w:color w:val="000000" w:themeColor="text1"/>
          <w:sz w:val="16"/>
          <w:szCs w:val="16"/>
          <w:lang w:eastAsia="es-ES_tradnl"/>
        </w:rPr>
        <w:t>November</w:t>
      </w:r>
      <w:r w:rsidR="00EE03B5" w:rsidRPr="000B12ED">
        <w:rPr>
          <w:rFonts w:ascii="Cambria" w:hAnsi="Cambria"/>
          <w:color w:val="000000" w:themeColor="text1"/>
          <w:sz w:val="16"/>
          <w:szCs w:val="16"/>
          <w:lang w:eastAsia="es-ES_tradnl"/>
        </w:rPr>
        <w:t xml:space="preserve"> 30</w:t>
      </w:r>
      <w:r w:rsidR="00AE4535" w:rsidRPr="000B12ED">
        <w:rPr>
          <w:rFonts w:ascii="Cambria" w:hAnsi="Cambria"/>
          <w:color w:val="000000" w:themeColor="text1"/>
          <w:sz w:val="16"/>
          <w:szCs w:val="16"/>
          <w:lang w:eastAsia="es-ES_tradnl"/>
        </w:rPr>
        <w:t>, 202</w:t>
      </w:r>
      <w:r w:rsidR="00EE03B5" w:rsidRPr="000B12ED">
        <w:rPr>
          <w:rFonts w:ascii="Cambria" w:hAnsi="Cambria"/>
          <w:color w:val="000000" w:themeColor="text1"/>
          <w:sz w:val="16"/>
          <w:szCs w:val="16"/>
          <w:lang w:eastAsia="es-ES_tradnl"/>
        </w:rPr>
        <w:t>3</w:t>
      </w:r>
      <w:r w:rsidR="00AE4535" w:rsidRPr="000B12ED">
        <w:rPr>
          <w:rFonts w:ascii="Cambria" w:hAnsi="Cambria"/>
          <w:color w:val="000000" w:themeColor="text1"/>
          <w:sz w:val="16"/>
          <w:szCs w:val="16"/>
          <w:lang w:eastAsia="es-ES_tradnl"/>
        </w:rPr>
        <w:t xml:space="preserve">. </w:t>
      </w:r>
      <w:hyperlink r:id="rId1" w:history="1">
        <w:r w:rsidR="004E20DC" w:rsidRPr="000B12ED">
          <w:rPr>
            <w:rStyle w:val="Hyperlink"/>
            <w:rFonts w:ascii="Cambria" w:hAnsi="Cambria"/>
            <w:sz w:val="16"/>
            <w:szCs w:val="16"/>
          </w:rPr>
          <w:t>https://www.oas.org/en/iachr/decisions/2023/BO%20SA%2011.426%20ENG_FINAL%20WEB.pdf</w:t>
        </w:r>
      </w:hyperlink>
      <w:r w:rsidR="004E20DC" w:rsidRPr="004E20DC">
        <w:rPr>
          <w:rFonts w:ascii="Cambria" w:hAnsi="Cambria"/>
          <w:sz w:val="16"/>
          <w:szCs w:val="16"/>
        </w:rPr>
        <w:t xml:space="preserve"> </w:t>
      </w:r>
    </w:p>
  </w:footnote>
  <w:footnote w:id="2">
    <w:p w14:paraId="1E97D377" w14:textId="02B1474B" w:rsidR="003E6F57" w:rsidRPr="004E20DC" w:rsidRDefault="003E6F57" w:rsidP="007175E2">
      <w:pPr>
        <w:pStyle w:val="FootnoteText"/>
        <w:ind w:firstLine="720"/>
        <w:jc w:val="both"/>
        <w:rPr>
          <w:rFonts w:ascii="Cambria" w:hAnsi="Cambria"/>
          <w:sz w:val="16"/>
          <w:szCs w:val="16"/>
        </w:rPr>
      </w:pPr>
      <w:r w:rsidRPr="004E20DC">
        <w:rPr>
          <w:rStyle w:val="FootnoteReference"/>
          <w:rFonts w:ascii="Cambria" w:hAnsi="Cambria"/>
          <w:color w:val="000000" w:themeColor="text1"/>
          <w:sz w:val="16"/>
          <w:szCs w:val="16"/>
        </w:rPr>
        <w:footnoteRef/>
      </w:r>
      <w:r w:rsidRPr="004E20DC">
        <w:rPr>
          <w:rFonts w:ascii="Cambria" w:hAnsi="Cambria"/>
          <w:color w:val="000000" w:themeColor="text1"/>
          <w:sz w:val="16"/>
          <w:szCs w:val="16"/>
        </w:rPr>
        <w:t xml:space="preserve"> </w:t>
      </w:r>
      <w:r w:rsidR="00DD39E8" w:rsidRPr="000B12ED">
        <w:rPr>
          <w:rFonts w:ascii="Cambria" w:hAnsi="Cambria"/>
          <w:color w:val="000000" w:themeColor="text1"/>
          <w:sz w:val="16"/>
          <w:szCs w:val="16"/>
          <w:lang w:eastAsia="es-ES_tradnl"/>
        </w:rPr>
        <w:t xml:space="preserve">IACHR, Report No. 270/23, Case 11.426. Friendly Settlement. </w:t>
      </w:r>
      <w:r w:rsidR="00DD39E8" w:rsidRPr="000B12ED">
        <w:rPr>
          <w:rFonts w:ascii="Cambria" w:hAnsi="Cambria"/>
          <w:bCs/>
          <w:color w:val="000000" w:themeColor="text1"/>
          <w:sz w:val="16"/>
          <w:szCs w:val="16"/>
          <w:lang w:eastAsia="es-ES_tradnl"/>
        </w:rPr>
        <w:t>Marcela Alejandra Porco</w:t>
      </w:r>
      <w:r w:rsidR="00DD39E8" w:rsidRPr="000B12ED">
        <w:rPr>
          <w:rFonts w:ascii="Cambria" w:hAnsi="Cambria"/>
          <w:color w:val="000000" w:themeColor="text1"/>
          <w:sz w:val="16"/>
          <w:szCs w:val="16"/>
          <w:lang w:eastAsia="es-ES_tradnl"/>
        </w:rPr>
        <w:t xml:space="preserve">. Bolivia. </w:t>
      </w:r>
      <w:r w:rsidR="004E20DC" w:rsidRPr="000B12ED">
        <w:rPr>
          <w:rFonts w:ascii="Cambria" w:hAnsi="Cambria"/>
          <w:color w:val="000000" w:themeColor="text1"/>
          <w:sz w:val="16"/>
          <w:szCs w:val="16"/>
          <w:lang w:eastAsia="es-ES_tradnl"/>
        </w:rPr>
        <w:t>November</w:t>
      </w:r>
      <w:r w:rsidR="00DD39E8" w:rsidRPr="000B12ED">
        <w:rPr>
          <w:rFonts w:ascii="Cambria" w:hAnsi="Cambria"/>
          <w:color w:val="000000" w:themeColor="text1"/>
          <w:sz w:val="16"/>
          <w:szCs w:val="16"/>
          <w:lang w:eastAsia="es-ES_tradnl"/>
        </w:rPr>
        <w:t xml:space="preserve"> 30, 2023. </w:t>
      </w:r>
      <w:hyperlink r:id="rId2" w:history="1">
        <w:r w:rsidR="004E20DC" w:rsidRPr="000B12ED">
          <w:rPr>
            <w:rStyle w:val="Hyperlink"/>
            <w:rFonts w:ascii="Cambria" w:hAnsi="Cambria"/>
            <w:sz w:val="16"/>
            <w:szCs w:val="16"/>
          </w:rPr>
          <w:t>https://www.oas.org/en/iachr/decisions/2023/BO%20SA%2011.426%20ENG_FINAL%20WEB.pdf</w:t>
        </w:r>
      </w:hyperlink>
      <w:r w:rsidR="004E20DC" w:rsidRPr="004E20DC">
        <w:rPr>
          <w:rFonts w:ascii="Cambria" w:hAnsi="Cambria"/>
          <w:sz w:val="16"/>
          <w:szCs w:val="16"/>
        </w:rPr>
        <w:t xml:space="preserve"> </w:t>
      </w:r>
    </w:p>
  </w:footnote>
  <w:footnote w:id="3">
    <w:p w14:paraId="078A3721" w14:textId="6608AEFB" w:rsidR="00ED54E7" w:rsidRPr="004E20DC" w:rsidRDefault="00ED54E7" w:rsidP="00ED54E7">
      <w:pPr>
        <w:pStyle w:val="FootnoteText"/>
        <w:ind w:firstLine="720"/>
        <w:jc w:val="both"/>
        <w:rPr>
          <w:rFonts w:ascii="Cambria" w:hAnsi="Cambria"/>
          <w:sz w:val="16"/>
          <w:szCs w:val="16"/>
        </w:rPr>
      </w:pPr>
      <w:r w:rsidRPr="004E20DC">
        <w:rPr>
          <w:rStyle w:val="FootnoteReference"/>
        </w:rPr>
        <w:footnoteRef/>
      </w:r>
      <w:r w:rsidRPr="004E20DC">
        <w:t xml:space="preserve"> </w:t>
      </w:r>
      <w:r w:rsidRPr="000B12ED">
        <w:rPr>
          <w:rFonts w:ascii="Cambria" w:hAnsi="Cambria"/>
          <w:color w:val="000000" w:themeColor="text1"/>
          <w:sz w:val="16"/>
          <w:szCs w:val="16"/>
          <w:lang w:eastAsia="es-ES_tradnl"/>
        </w:rPr>
        <w:t xml:space="preserve">IACHR, Report No. 270/23, Case 11.426. Friendly Settlement. </w:t>
      </w:r>
      <w:r w:rsidRPr="000B12ED">
        <w:rPr>
          <w:rFonts w:ascii="Cambria" w:hAnsi="Cambria"/>
          <w:bCs/>
          <w:color w:val="000000" w:themeColor="text1"/>
          <w:sz w:val="16"/>
          <w:szCs w:val="16"/>
          <w:lang w:eastAsia="es-ES_tradnl"/>
        </w:rPr>
        <w:t>Marcela Alejandra Porco</w:t>
      </w:r>
      <w:r w:rsidRPr="000B12ED">
        <w:rPr>
          <w:rFonts w:ascii="Cambria" w:hAnsi="Cambria"/>
          <w:color w:val="000000" w:themeColor="text1"/>
          <w:sz w:val="16"/>
          <w:szCs w:val="16"/>
          <w:lang w:eastAsia="es-ES_tradnl"/>
        </w:rPr>
        <w:t xml:space="preserve">. Bolivia. </w:t>
      </w:r>
      <w:r w:rsidR="004E20DC" w:rsidRPr="000B12ED">
        <w:rPr>
          <w:rFonts w:ascii="Cambria" w:hAnsi="Cambria"/>
          <w:color w:val="000000" w:themeColor="text1"/>
          <w:sz w:val="16"/>
          <w:szCs w:val="16"/>
          <w:lang w:eastAsia="es-ES_tradnl"/>
        </w:rPr>
        <w:t>November</w:t>
      </w:r>
      <w:r w:rsidRPr="000B12ED">
        <w:rPr>
          <w:rFonts w:ascii="Cambria" w:hAnsi="Cambria"/>
          <w:color w:val="000000" w:themeColor="text1"/>
          <w:sz w:val="16"/>
          <w:szCs w:val="16"/>
          <w:lang w:eastAsia="es-ES_tradnl"/>
        </w:rPr>
        <w:t xml:space="preserve"> 30, 2023. </w:t>
      </w:r>
      <w:hyperlink r:id="rId3" w:history="1">
        <w:r w:rsidR="004E20DC" w:rsidRPr="000B12ED">
          <w:rPr>
            <w:rStyle w:val="Hyperlink"/>
            <w:rFonts w:ascii="Cambria" w:hAnsi="Cambria"/>
            <w:sz w:val="16"/>
            <w:szCs w:val="16"/>
          </w:rPr>
          <w:t>https://www.oas.org/en/iachr/decisions/2023/BO%20SA%2011.426%20ENG_FINAL%20WEB.pdf</w:t>
        </w:r>
      </w:hyperlink>
      <w:r w:rsidR="004E20DC">
        <w:rPr>
          <w:rFonts w:ascii="Cambria" w:hAnsi="Cambria"/>
          <w:sz w:val="16"/>
          <w:szCs w:val="16"/>
        </w:rPr>
        <w:t xml:space="preserve"> </w:t>
      </w:r>
    </w:p>
  </w:footnote>
  <w:footnote w:id="4">
    <w:p w14:paraId="3763662B" w14:textId="568C4BB8" w:rsidR="00ED54E7" w:rsidRPr="00DD39E8" w:rsidRDefault="00ED54E7" w:rsidP="00ED54E7">
      <w:pPr>
        <w:pStyle w:val="FootnoteText"/>
        <w:ind w:firstLine="720"/>
        <w:jc w:val="both"/>
        <w:rPr>
          <w:rFonts w:ascii="Cambria" w:hAnsi="Cambria"/>
          <w:sz w:val="16"/>
          <w:szCs w:val="16"/>
          <w:lang w:val="es-CO"/>
        </w:rPr>
      </w:pPr>
      <w:r w:rsidRPr="004E20DC">
        <w:rPr>
          <w:rStyle w:val="FootnoteReference"/>
        </w:rPr>
        <w:footnoteRef/>
      </w:r>
      <w:r w:rsidRPr="004E20DC">
        <w:t xml:space="preserve"> </w:t>
      </w:r>
      <w:r w:rsidRPr="000B12ED">
        <w:rPr>
          <w:rFonts w:ascii="Cambria" w:hAnsi="Cambria"/>
          <w:color w:val="000000" w:themeColor="text1"/>
          <w:sz w:val="16"/>
          <w:szCs w:val="16"/>
          <w:lang w:eastAsia="es-ES_tradnl"/>
        </w:rPr>
        <w:t xml:space="preserve">IACHR, Report No. 270/23, Case 11.426. Friendly Settlement. </w:t>
      </w:r>
      <w:r w:rsidRPr="000B12ED">
        <w:rPr>
          <w:rFonts w:ascii="Cambria" w:hAnsi="Cambria"/>
          <w:bCs/>
          <w:color w:val="000000" w:themeColor="text1"/>
          <w:sz w:val="16"/>
          <w:szCs w:val="16"/>
          <w:lang w:val="pt-BR" w:eastAsia="es-ES_tradnl"/>
        </w:rPr>
        <w:t>Marcela Alejandra Porco</w:t>
      </w:r>
      <w:r w:rsidRPr="000B12ED">
        <w:rPr>
          <w:rFonts w:ascii="Cambria" w:hAnsi="Cambria"/>
          <w:color w:val="000000" w:themeColor="text1"/>
          <w:sz w:val="16"/>
          <w:szCs w:val="16"/>
          <w:lang w:val="es-CO" w:eastAsia="es-ES_tradnl"/>
        </w:rPr>
        <w:t xml:space="preserve">. Bolivia. </w:t>
      </w:r>
      <w:r w:rsidR="004E20DC" w:rsidRPr="004E20DC">
        <w:rPr>
          <w:rFonts w:ascii="Cambria" w:hAnsi="Cambria"/>
          <w:color w:val="000000" w:themeColor="text1"/>
          <w:sz w:val="16"/>
          <w:szCs w:val="16"/>
          <w:lang w:eastAsia="es-ES_tradnl"/>
        </w:rPr>
        <w:t xml:space="preserve"> </w:t>
      </w:r>
      <w:r w:rsidR="004E20DC" w:rsidRPr="001136F3">
        <w:rPr>
          <w:rFonts w:ascii="Cambria" w:hAnsi="Cambria"/>
          <w:color w:val="000000" w:themeColor="text1"/>
          <w:sz w:val="16"/>
          <w:szCs w:val="16"/>
          <w:lang w:eastAsia="es-ES_tradnl"/>
        </w:rPr>
        <w:t>November 30,</w:t>
      </w:r>
      <w:r w:rsidRPr="000B12ED">
        <w:rPr>
          <w:rFonts w:ascii="Cambria" w:hAnsi="Cambria"/>
          <w:color w:val="000000" w:themeColor="text1"/>
          <w:sz w:val="16"/>
          <w:szCs w:val="16"/>
          <w:lang w:val="es-CO" w:eastAsia="es-ES_tradnl"/>
        </w:rPr>
        <w:t xml:space="preserve"> 2023. </w:t>
      </w:r>
      <w:hyperlink r:id="rId4" w:history="1">
        <w:r w:rsidR="004E20DC" w:rsidRPr="000B12ED">
          <w:rPr>
            <w:rStyle w:val="Hyperlink"/>
            <w:rFonts w:ascii="Cambria" w:hAnsi="Cambria"/>
            <w:sz w:val="16"/>
            <w:szCs w:val="16"/>
            <w:lang w:val="es-CO"/>
          </w:rPr>
          <w:t>https://www.oas.org/en/iachr/decisions/2023/BO%20SA%2011.426%20ENG_FINAL%20WEB.pdf</w:t>
        </w:r>
      </w:hyperlink>
      <w:r w:rsidR="004E20DC">
        <w:rPr>
          <w:rFonts w:ascii="Cambria" w:hAnsi="Cambria"/>
          <w:sz w:val="16"/>
          <w:szCs w:val="16"/>
          <w:lang w:val="es-CO"/>
        </w:rPr>
        <w:t xml:space="preserve"> </w:t>
      </w:r>
    </w:p>
    <w:p w14:paraId="719D1321" w14:textId="7B5351BD" w:rsidR="00ED54E7" w:rsidRPr="00ED54E7" w:rsidRDefault="00ED54E7">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285" name="Pictur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234D53">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286"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287" name="Pictur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234D53"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C1006B"/>
    <w:multiLevelType w:val="hybridMultilevel"/>
    <w:tmpl w:val="E848BD94"/>
    <w:lvl w:ilvl="0" w:tplc="7DCEA83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9840DC"/>
    <w:multiLevelType w:val="hybridMultilevel"/>
    <w:tmpl w:val="AA809194"/>
    <w:lvl w:ilvl="0" w:tplc="80E0AA62">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F4079"/>
    <w:multiLevelType w:val="hybridMultilevel"/>
    <w:tmpl w:val="F33A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290519"/>
    <w:multiLevelType w:val="hybridMultilevel"/>
    <w:tmpl w:val="E1A4E0CC"/>
    <w:lvl w:ilvl="0" w:tplc="88B2801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3"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437226A"/>
    <w:multiLevelType w:val="hybridMultilevel"/>
    <w:tmpl w:val="591CF82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C15543"/>
    <w:multiLevelType w:val="hybridMultilevel"/>
    <w:tmpl w:val="40A6B0B2"/>
    <w:lvl w:ilvl="0" w:tplc="A65C83D0">
      <w:start w:val="3"/>
      <w:numFmt w:val="decimal"/>
      <w:lvlText w:val="%1."/>
      <w:lvlJc w:val="left"/>
      <w:pPr>
        <w:ind w:left="720" w:hanging="360"/>
      </w:pPr>
      <w:rPr>
        <w:rFonts w:eastAsia="Calibri" w:cs="Times New Roman" w:hint="default"/>
        <w:b w:val="0"/>
        <w:color w:val="0808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3"/>
  </w:num>
  <w:num w:numId="2" w16cid:durableId="453600156">
    <w:abstractNumId w:val="33"/>
  </w:num>
  <w:num w:numId="3" w16cid:durableId="897327684">
    <w:abstractNumId w:val="21"/>
  </w:num>
  <w:num w:numId="4" w16cid:durableId="1141650489">
    <w:abstractNumId w:val="32"/>
  </w:num>
  <w:num w:numId="5" w16cid:durableId="746342540">
    <w:abstractNumId w:val="15"/>
  </w:num>
  <w:num w:numId="6" w16cid:durableId="1621692518">
    <w:abstractNumId w:val="8"/>
  </w:num>
  <w:num w:numId="7" w16cid:durableId="971790784">
    <w:abstractNumId w:val="1"/>
  </w:num>
  <w:num w:numId="8" w16cid:durableId="1387029646">
    <w:abstractNumId w:val="39"/>
  </w:num>
  <w:num w:numId="9" w16cid:durableId="1086881292">
    <w:abstractNumId w:val="9"/>
  </w:num>
  <w:num w:numId="10" w16cid:durableId="1292322756">
    <w:abstractNumId w:val="14"/>
  </w:num>
  <w:num w:numId="11" w16cid:durableId="1000500350">
    <w:abstractNumId w:val="3"/>
  </w:num>
  <w:num w:numId="12" w16cid:durableId="1706103099">
    <w:abstractNumId w:val="38"/>
  </w:num>
  <w:num w:numId="13" w16cid:durableId="1756710271">
    <w:abstractNumId w:val="24"/>
  </w:num>
  <w:num w:numId="14" w16cid:durableId="1099252676">
    <w:abstractNumId w:val="43"/>
  </w:num>
  <w:num w:numId="15" w16cid:durableId="1030109151">
    <w:abstractNumId w:val="18"/>
  </w:num>
  <w:num w:numId="16" w16cid:durableId="1722748191">
    <w:abstractNumId w:val="17"/>
  </w:num>
  <w:num w:numId="17" w16cid:durableId="351491452">
    <w:abstractNumId w:val="31"/>
  </w:num>
  <w:num w:numId="18" w16cid:durableId="1027633537">
    <w:abstractNumId w:val="11"/>
  </w:num>
  <w:num w:numId="19" w16cid:durableId="457845413">
    <w:abstractNumId w:val="30"/>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3"/>
  </w:num>
  <w:num w:numId="22" w16cid:durableId="2003926928">
    <w:abstractNumId w:val="12"/>
  </w:num>
  <w:num w:numId="23" w16cid:durableId="1497725357">
    <w:abstractNumId w:val="25"/>
  </w:num>
  <w:num w:numId="24" w16cid:durableId="307248652">
    <w:abstractNumId w:val="28"/>
  </w:num>
  <w:num w:numId="25" w16cid:durableId="1985550389">
    <w:abstractNumId w:val="7"/>
  </w:num>
  <w:num w:numId="26" w16cid:durableId="1478456909">
    <w:abstractNumId w:val="10"/>
  </w:num>
  <w:num w:numId="27" w16cid:durableId="1176925587">
    <w:abstractNumId w:val="4"/>
  </w:num>
  <w:num w:numId="28" w16cid:durableId="1876766616">
    <w:abstractNumId w:val="40"/>
  </w:num>
  <w:num w:numId="29" w16cid:durableId="2142572164">
    <w:abstractNumId w:val="37"/>
  </w:num>
  <w:num w:numId="30" w16cid:durableId="571933528">
    <w:abstractNumId w:val="35"/>
  </w:num>
  <w:num w:numId="31" w16cid:durableId="1861430946">
    <w:abstractNumId w:val="16"/>
  </w:num>
  <w:num w:numId="32" w16cid:durableId="803893092">
    <w:abstractNumId w:val="19"/>
  </w:num>
  <w:num w:numId="33" w16cid:durableId="1739936026">
    <w:abstractNumId w:val="6"/>
  </w:num>
  <w:num w:numId="34" w16cid:durableId="1458915668">
    <w:abstractNumId w:val="34"/>
  </w:num>
  <w:num w:numId="35" w16cid:durableId="1599485303">
    <w:abstractNumId w:val="44"/>
  </w:num>
  <w:num w:numId="36" w16cid:durableId="1664964272">
    <w:abstractNumId w:val="42"/>
  </w:num>
  <w:num w:numId="37" w16cid:durableId="2074966919">
    <w:abstractNumId w:val="36"/>
  </w:num>
  <w:num w:numId="38" w16cid:durableId="20934263">
    <w:abstractNumId w:val="27"/>
  </w:num>
  <w:num w:numId="39" w16cid:durableId="195656616">
    <w:abstractNumId w:val="29"/>
  </w:num>
  <w:num w:numId="40" w16cid:durableId="145631218">
    <w:abstractNumId w:val="5"/>
  </w:num>
  <w:num w:numId="41" w16cid:durableId="1611938079">
    <w:abstractNumId w:val="2"/>
  </w:num>
  <w:num w:numId="42" w16cid:durableId="1118454427">
    <w:abstractNumId w:val="20"/>
  </w:num>
  <w:num w:numId="43" w16cid:durableId="689718687">
    <w:abstractNumId w:val="26"/>
  </w:num>
  <w:num w:numId="44" w16cid:durableId="1124925544">
    <w:abstractNumId w:val="22"/>
  </w:num>
  <w:num w:numId="45" w16cid:durableId="2141652282">
    <w:abstractNumId w:val="0"/>
  </w:num>
  <w:num w:numId="46" w16cid:durableId="453714857">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12ED"/>
    <w:rsid w:val="000B3203"/>
    <w:rsid w:val="000B3318"/>
    <w:rsid w:val="000D32B6"/>
    <w:rsid w:val="000D6F2C"/>
    <w:rsid w:val="001011E0"/>
    <w:rsid w:val="00101E3E"/>
    <w:rsid w:val="00112395"/>
    <w:rsid w:val="0012326D"/>
    <w:rsid w:val="0012586C"/>
    <w:rsid w:val="00127F17"/>
    <w:rsid w:val="00137E89"/>
    <w:rsid w:val="001511FD"/>
    <w:rsid w:val="001541D4"/>
    <w:rsid w:val="00162518"/>
    <w:rsid w:val="001834F6"/>
    <w:rsid w:val="001C516B"/>
    <w:rsid w:val="001E3F4C"/>
    <w:rsid w:val="00215215"/>
    <w:rsid w:val="0021669C"/>
    <w:rsid w:val="00226F48"/>
    <w:rsid w:val="00234D53"/>
    <w:rsid w:val="00236411"/>
    <w:rsid w:val="00240E8E"/>
    <w:rsid w:val="002547E7"/>
    <w:rsid w:val="00260836"/>
    <w:rsid w:val="00277604"/>
    <w:rsid w:val="002859A9"/>
    <w:rsid w:val="00292B52"/>
    <w:rsid w:val="00294A83"/>
    <w:rsid w:val="00294B17"/>
    <w:rsid w:val="002A39B2"/>
    <w:rsid w:val="002D40CD"/>
    <w:rsid w:val="002E4FBC"/>
    <w:rsid w:val="002F156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402700"/>
    <w:rsid w:val="0041128D"/>
    <w:rsid w:val="00417964"/>
    <w:rsid w:val="00420BB1"/>
    <w:rsid w:val="0043583A"/>
    <w:rsid w:val="004545D1"/>
    <w:rsid w:val="00457BAB"/>
    <w:rsid w:val="00462B02"/>
    <w:rsid w:val="00470C7B"/>
    <w:rsid w:val="0047146A"/>
    <w:rsid w:val="004722BC"/>
    <w:rsid w:val="00472E04"/>
    <w:rsid w:val="0047567D"/>
    <w:rsid w:val="00477BF2"/>
    <w:rsid w:val="004B10BC"/>
    <w:rsid w:val="004B3074"/>
    <w:rsid w:val="004B30AB"/>
    <w:rsid w:val="004B7CA6"/>
    <w:rsid w:val="004C6CCF"/>
    <w:rsid w:val="004C7C99"/>
    <w:rsid w:val="004E20DC"/>
    <w:rsid w:val="004E28D0"/>
    <w:rsid w:val="004F5CA9"/>
    <w:rsid w:val="004F5F70"/>
    <w:rsid w:val="00504855"/>
    <w:rsid w:val="005145CC"/>
    <w:rsid w:val="005205B9"/>
    <w:rsid w:val="00534F2B"/>
    <w:rsid w:val="005566F5"/>
    <w:rsid w:val="00560B32"/>
    <w:rsid w:val="005829B9"/>
    <w:rsid w:val="00594A1B"/>
    <w:rsid w:val="005A328E"/>
    <w:rsid w:val="005A49FD"/>
    <w:rsid w:val="005A4D20"/>
    <w:rsid w:val="005A5AE8"/>
    <w:rsid w:val="005A5E14"/>
    <w:rsid w:val="005B2E65"/>
    <w:rsid w:val="005C2637"/>
    <w:rsid w:val="005C414D"/>
    <w:rsid w:val="005D7F05"/>
    <w:rsid w:val="005E3720"/>
    <w:rsid w:val="005E4B03"/>
    <w:rsid w:val="005F171A"/>
    <w:rsid w:val="005F4AAA"/>
    <w:rsid w:val="0060081A"/>
    <w:rsid w:val="00604132"/>
    <w:rsid w:val="00610CB4"/>
    <w:rsid w:val="0063267F"/>
    <w:rsid w:val="00634F89"/>
    <w:rsid w:val="00637AFB"/>
    <w:rsid w:val="00655003"/>
    <w:rsid w:val="00660EF3"/>
    <w:rsid w:val="00663A76"/>
    <w:rsid w:val="0067152B"/>
    <w:rsid w:val="00672090"/>
    <w:rsid w:val="00695D14"/>
    <w:rsid w:val="006B09C3"/>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655EF"/>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03D9"/>
    <w:rsid w:val="00846397"/>
    <w:rsid w:val="008521E0"/>
    <w:rsid w:val="00854914"/>
    <w:rsid w:val="008550EF"/>
    <w:rsid w:val="0087405E"/>
    <w:rsid w:val="00893661"/>
    <w:rsid w:val="008A1CBE"/>
    <w:rsid w:val="008B1EA8"/>
    <w:rsid w:val="008B2A99"/>
    <w:rsid w:val="008B6085"/>
    <w:rsid w:val="008B6DA8"/>
    <w:rsid w:val="008E42E1"/>
    <w:rsid w:val="008E751C"/>
    <w:rsid w:val="008F2248"/>
    <w:rsid w:val="009108A4"/>
    <w:rsid w:val="009162E7"/>
    <w:rsid w:val="009237E9"/>
    <w:rsid w:val="00941BE5"/>
    <w:rsid w:val="009457D8"/>
    <w:rsid w:val="00950F1B"/>
    <w:rsid w:val="00956038"/>
    <w:rsid w:val="0096142F"/>
    <w:rsid w:val="0096419E"/>
    <w:rsid w:val="00994458"/>
    <w:rsid w:val="009949ED"/>
    <w:rsid w:val="009B1135"/>
    <w:rsid w:val="009B219C"/>
    <w:rsid w:val="009C227B"/>
    <w:rsid w:val="009C4D87"/>
    <w:rsid w:val="009C5BE9"/>
    <w:rsid w:val="009E73F0"/>
    <w:rsid w:val="009F2832"/>
    <w:rsid w:val="009F66EA"/>
    <w:rsid w:val="00A2502C"/>
    <w:rsid w:val="00A25CA7"/>
    <w:rsid w:val="00A343FF"/>
    <w:rsid w:val="00A61B5E"/>
    <w:rsid w:val="00A678C3"/>
    <w:rsid w:val="00A70B4A"/>
    <w:rsid w:val="00A76705"/>
    <w:rsid w:val="00A7781B"/>
    <w:rsid w:val="00A860C7"/>
    <w:rsid w:val="00AA1620"/>
    <w:rsid w:val="00AA164D"/>
    <w:rsid w:val="00AB0F8C"/>
    <w:rsid w:val="00AB253B"/>
    <w:rsid w:val="00AC2C8E"/>
    <w:rsid w:val="00AE1B0F"/>
    <w:rsid w:val="00AE4535"/>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43327"/>
    <w:rsid w:val="00D735C2"/>
    <w:rsid w:val="00D76EDC"/>
    <w:rsid w:val="00D91EBA"/>
    <w:rsid w:val="00D9413D"/>
    <w:rsid w:val="00DA7797"/>
    <w:rsid w:val="00DC5A37"/>
    <w:rsid w:val="00DC7C8F"/>
    <w:rsid w:val="00DD39E8"/>
    <w:rsid w:val="00DE4A18"/>
    <w:rsid w:val="00DF0FE5"/>
    <w:rsid w:val="00E12118"/>
    <w:rsid w:val="00E177B0"/>
    <w:rsid w:val="00E24621"/>
    <w:rsid w:val="00E3040C"/>
    <w:rsid w:val="00E31824"/>
    <w:rsid w:val="00E42870"/>
    <w:rsid w:val="00E525B3"/>
    <w:rsid w:val="00E6614F"/>
    <w:rsid w:val="00E737AE"/>
    <w:rsid w:val="00E953CE"/>
    <w:rsid w:val="00EC2A38"/>
    <w:rsid w:val="00ED54E7"/>
    <w:rsid w:val="00ED7332"/>
    <w:rsid w:val="00ED73A5"/>
    <w:rsid w:val="00EE03B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Parragrap,Superíndice,Dot pt,No Spacing1,List Paragraph Char Char Char,Indicator Text,Numbered Para 1,4 Párrafo de lista,Figuras,DH1,4 Párrafo de l,List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Parragrap Char,Superíndice Char,Dot pt Char,No Spacing1 Char,List Paragraph Char Char Char Char,Indicator Text Char,Numbered Para 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dh.oas.org/annualrep/2008eng/Bolivia11426eng.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3/BO%20SA%2011.426%20ENG_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3/BO%20SA%2011.426%20ENG_FINAL%20WEB.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ecisions/2023/BO%20SA%2011.426%20ENG_FINAL%20WEB.pdf" TargetMode="External"/><Relationship Id="rId2" Type="http://schemas.openxmlformats.org/officeDocument/2006/relationships/hyperlink" Target="https://www.oas.org/en/iachr/decisions/2023/BO%20SA%2011.426%20ENG_FINAL%20WEB.pdf" TargetMode="External"/><Relationship Id="rId1" Type="http://schemas.openxmlformats.org/officeDocument/2006/relationships/hyperlink" Target="https://www.oas.org/en/iachr/decisions/2023/BO%20SA%2011.426%20ENG_FINAL%20WEB.pdf" TargetMode="External"/><Relationship Id="rId4" Type="http://schemas.openxmlformats.org/officeDocument/2006/relationships/hyperlink" Target="https://www.oas.org/en/iachr/decisions/2023/BO%20SA%2011.426%20ENG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